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54921" w14:textId="603B9C12" w:rsidR="002F0C4B" w:rsidRDefault="005668FF">
      <w:pPr>
        <w:spacing w:before="240" w:after="240"/>
        <w:jc w:val="center"/>
        <w:rPr>
          <w:b/>
          <w:color w:val="000000"/>
          <w:sz w:val="24"/>
          <w:szCs w:val="24"/>
        </w:rPr>
      </w:pPr>
      <w:r>
        <w:rPr>
          <w:b/>
          <w:color w:val="000000"/>
          <w:sz w:val="24"/>
          <w:szCs w:val="24"/>
        </w:rPr>
        <w:t xml:space="preserve">EDITAL DE CHAMAMENTO PÚBLICO Nº </w:t>
      </w:r>
      <w:r w:rsidR="004443A4">
        <w:rPr>
          <w:b/>
          <w:color w:val="000000"/>
          <w:sz w:val="24"/>
          <w:szCs w:val="24"/>
        </w:rPr>
        <w:t>00</w:t>
      </w:r>
      <w:r w:rsidR="00D14E55">
        <w:rPr>
          <w:b/>
          <w:color w:val="000000"/>
          <w:sz w:val="24"/>
          <w:szCs w:val="24"/>
        </w:rPr>
        <w:t>2</w:t>
      </w:r>
      <w:r>
        <w:rPr>
          <w:b/>
          <w:color w:val="000000"/>
          <w:sz w:val="24"/>
          <w:szCs w:val="24"/>
        </w:rPr>
        <w:t>/202</w:t>
      </w:r>
      <w:r w:rsidR="00A908D8">
        <w:rPr>
          <w:b/>
          <w:color w:val="000000"/>
          <w:sz w:val="24"/>
          <w:szCs w:val="24"/>
        </w:rPr>
        <w:t>6</w:t>
      </w:r>
      <w:r>
        <w:rPr>
          <w:b/>
          <w:color w:val="000000"/>
          <w:sz w:val="24"/>
          <w:szCs w:val="24"/>
        </w:rPr>
        <w:t xml:space="preserve"> </w:t>
      </w:r>
    </w:p>
    <w:p w14:paraId="16A35301" w14:textId="0F5313CA" w:rsidR="002F0C4B" w:rsidRDefault="00D14E55">
      <w:pPr>
        <w:spacing w:before="240" w:after="240"/>
        <w:jc w:val="center"/>
        <w:rPr>
          <w:sz w:val="24"/>
          <w:szCs w:val="24"/>
        </w:rPr>
      </w:pPr>
      <w:r w:rsidRPr="005854D5">
        <w:rPr>
          <w:rFonts w:asciiTheme="minorHAnsi" w:hAnsiTheme="minorHAnsi" w:cstheme="minorHAnsi"/>
          <w:b/>
          <w:color w:val="000000"/>
          <w:sz w:val="24"/>
          <w:szCs w:val="24"/>
        </w:rPr>
        <w:t>SELEÇÃO DE PROJETOS PARA FIRMAR TERMO DE EXECUÇÃO CULTURAL COM RECURSOS DA POLÍTICA NACIONAL ALDIR BLANC DE FOMENTO À CULTURA – PNAB (LEI Nº 14.399/2022</w:t>
      </w:r>
      <w:r w:rsidR="005668FF">
        <w:rPr>
          <w:b/>
          <w:color w:val="000000"/>
          <w:sz w:val="24"/>
          <w:szCs w:val="24"/>
        </w:rPr>
        <w:t>)</w:t>
      </w:r>
    </w:p>
    <w:p w14:paraId="54409700" w14:textId="5CCEDD8D" w:rsidR="00F84F95" w:rsidRPr="00F84F95" w:rsidRDefault="00F84F95" w:rsidP="00F84F95">
      <w:pPr>
        <w:spacing w:after="120" w:line="276" w:lineRule="auto"/>
        <w:jc w:val="center"/>
        <w:rPr>
          <w:rFonts w:eastAsia="Arial"/>
          <w:b/>
          <w:bCs/>
          <w:sz w:val="24"/>
          <w:szCs w:val="24"/>
          <w:lang w:eastAsia="pt-BR"/>
        </w:rPr>
      </w:pPr>
      <w:r w:rsidRPr="00F84F95">
        <w:rPr>
          <w:rFonts w:eastAsia="Arial"/>
          <w:b/>
          <w:bCs/>
          <w:sz w:val="24"/>
          <w:szCs w:val="24"/>
          <w:lang w:eastAsia="pt-BR"/>
        </w:rPr>
        <w:t xml:space="preserve">ANEXO </w:t>
      </w:r>
      <w:r w:rsidR="00D36CD3">
        <w:rPr>
          <w:rFonts w:eastAsia="Arial"/>
          <w:b/>
          <w:bCs/>
          <w:sz w:val="24"/>
          <w:szCs w:val="24"/>
          <w:lang w:eastAsia="pt-BR"/>
        </w:rPr>
        <w:t>I</w:t>
      </w:r>
      <w:r w:rsidRPr="00F84F95">
        <w:rPr>
          <w:rFonts w:eastAsia="Arial"/>
          <w:b/>
          <w:bCs/>
          <w:sz w:val="24"/>
          <w:szCs w:val="24"/>
          <w:lang w:eastAsia="pt-BR"/>
        </w:rPr>
        <w:t xml:space="preserve">V </w:t>
      </w:r>
    </w:p>
    <w:p w14:paraId="4CEDC433" w14:textId="77777777" w:rsidR="00F84F95" w:rsidRPr="00F84F95" w:rsidRDefault="00F84F95" w:rsidP="00F84F95">
      <w:pPr>
        <w:spacing w:after="120" w:line="276" w:lineRule="auto"/>
        <w:ind w:left="100"/>
        <w:jc w:val="center"/>
        <w:rPr>
          <w:rFonts w:eastAsia="Arial"/>
          <w:b/>
          <w:sz w:val="24"/>
          <w:szCs w:val="24"/>
          <w:lang w:eastAsia="pt-BR"/>
        </w:rPr>
      </w:pPr>
      <w:r w:rsidRPr="00F84F95">
        <w:rPr>
          <w:rFonts w:eastAsia="Arial"/>
          <w:b/>
          <w:sz w:val="24"/>
          <w:szCs w:val="24"/>
          <w:lang w:eastAsia="pt-BR"/>
        </w:rPr>
        <w:t>TERMO DE EXECUÇÃO CULTURAL</w:t>
      </w:r>
    </w:p>
    <w:p w14:paraId="7A4BD547" w14:textId="77777777" w:rsidR="00F84F95" w:rsidRPr="00F84F95" w:rsidRDefault="00F84F95" w:rsidP="00F84F95">
      <w:pPr>
        <w:spacing w:after="120" w:line="276" w:lineRule="auto"/>
        <w:ind w:left="100"/>
        <w:jc w:val="center"/>
        <w:rPr>
          <w:rFonts w:eastAsia="Arial"/>
          <w:b/>
          <w:sz w:val="24"/>
          <w:szCs w:val="24"/>
          <w:lang w:eastAsia="pt-BR"/>
        </w:rPr>
      </w:pPr>
    </w:p>
    <w:p w14:paraId="4A41EC32" w14:textId="6A683299" w:rsidR="00F84F95" w:rsidRPr="00F84F95" w:rsidRDefault="00F84F95" w:rsidP="00F84F95">
      <w:pPr>
        <w:spacing w:after="120" w:line="276" w:lineRule="auto"/>
        <w:ind w:left="100"/>
        <w:jc w:val="both"/>
        <w:rPr>
          <w:rFonts w:eastAsia="Arial"/>
          <w:sz w:val="24"/>
          <w:szCs w:val="24"/>
          <w:lang w:eastAsia="pt-BR"/>
        </w:rPr>
      </w:pPr>
      <w:r w:rsidRPr="00F84F95">
        <w:rPr>
          <w:rFonts w:eastAsia="Arial"/>
          <w:sz w:val="24"/>
          <w:szCs w:val="24"/>
          <w:lang w:eastAsia="pt-BR"/>
        </w:rPr>
        <w:t xml:space="preserve">TERMO DE EXECUÇÃO CULTURAL Nº </w:t>
      </w:r>
      <w:r w:rsidR="00BE7242">
        <w:rPr>
          <w:rFonts w:eastAsia="Arial"/>
          <w:sz w:val="24"/>
          <w:szCs w:val="24"/>
          <w:lang w:eastAsia="pt-BR"/>
        </w:rPr>
        <w:t>_______/2026</w:t>
      </w:r>
      <w:r w:rsidRPr="00F84F95">
        <w:rPr>
          <w:rFonts w:eastAsia="Arial"/>
          <w:sz w:val="24"/>
          <w:szCs w:val="24"/>
          <w:lang w:eastAsia="pt-BR"/>
        </w:rPr>
        <w:t xml:space="preserve"> TENDO POR OBJETO A CONCESSÃO DE </w:t>
      </w:r>
      <w:r w:rsidRPr="00CA7DDA">
        <w:rPr>
          <w:rFonts w:eastAsia="Arial"/>
          <w:sz w:val="24"/>
          <w:szCs w:val="24"/>
          <w:lang w:eastAsia="pt-BR"/>
        </w:rPr>
        <w:t xml:space="preserve">APOIO FINANCEIRO A AÇÕES CULTURAIS CONTEMPLADAS PELO EDITAL nº </w:t>
      </w:r>
      <w:r w:rsidR="00634ECC" w:rsidRPr="00CA7DDA">
        <w:rPr>
          <w:rFonts w:eastAsia="Arial"/>
          <w:sz w:val="24"/>
          <w:szCs w:val="24"/>
          <w:lang w:eastAsia="pt-BR"/>
        </w:rPr>
        <w:t>002</w:t>
      </w:r>
      <w:r w:rsidRPr="00CA7DDA">
        <w:rPr>
          <w:rFonts w:eastAsia="Arial"/>
          <w:sz w:val="24"/>
          <w:szCs w:val="24"/>
          <w:lang w:eastAsia="pt-BR"/>
        </w:rPr>
        <w:t>/202</w:t>
      </w:r>
      <w:r w:rsidR="00634ECC" w:rsidRPr="00CA7DDA">
        <w:rPr>
          <w:rFonts w:eastAsia="Arial"/>
          <w:sz w:val="24"/>
          <w:szCs w:val="24"/>
          <w:lang w:eastAsia="pt-BR"/>
        </w:rPr>
        <w:t>6</w:t>
      </w:r>
      <w:r w:rsidR="00AC6199" w:rsidRPr="00CA7DDA">
        <w:rPr>
          <w:rFonts w:eastAsia="Arial"/>
          <w:sz w:val="24"/>
          <w:szCs w:val="24"/>
          <w:lang w:eastAsia="pt-BR"/>
        </w:rPr>
        <w:t>/SECULT</w:t>
      </w:r>
      <w:r w:rsidRPr="00CA7DDA">
        <w:rPr>
          <w:rFonts w:eastAsia="Arial"/>
          <w:i/>
          <w:iCs/>
          <w:sz w:val="24"/>
          <w:szCs w:val="24"/>
          <w:lang w:eastAsia="pt-BR"/>
        </w:rPr>
        <w:t>,</w:t>
      </w:r>
      <w:r w:rsidRPr="00CA7DDA">
        <w:rPr>
          <w:rFonts w:eastAsia="Arial"/>
          <w:sz w:val="24"/>
          <w:szCs w:val="24"/>
          <w:lang w:eastAsia="pt-BR"/>
        </w:rPr>
        <w:t xml:space="preserve"> NOS TERMOS DA LEI Nº 14.399/2022 (PNAB), DA LEI Nº 14.903/2024 (MARCO REGULATÓRIO </w:t>
      </w:r>
      <w:r w:rsidRPr="00F84F95">
        <w:rPr>
          <w:rFonts w:eastAsia="Arial"/>
          <w:sz w:val="24"/>
          <w:szCs w:val="24"/>
          <w:lang w:eastAsia="pt-BR"/>
        </w:rPr>
        <w:t>DO FOMENTO À CULTURA), DO DECRETO N. 11.740/2023 (DECRETO PNAB) E DO DECRETO Nº 11.453/2023 (DECRETO DE FOMENTO).</w:t>
      </w:r>
    </w:p>
    <w:p w14:paraId="5E0F071D" w14:textId="77777777" w:rsidR="00F84F95" w:rsidRPr="00F84F95" w:rsidRDefault="00F84F95" w:rsidP="00F84F95">
      <w:pPr>
        <w:spacing w:after="100" w:line="276" w:lineRule="auto"/>
        <w:ind w:left="100"/>
        <w:jc w:val="both"/>
        <w:rPr>
          <w:rFonts w:eastAsia="Arial"/>
          <w:sz w:val="24"/>
          <w:szCs w:val="24"/>
          <w:lang w:eastAsia="pt-BR"/>
        </w:rPr>
      </w:pPr>
    </w:p>
    <w:p w14:paraId="0190D249"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1. PARTES</w:t>
      </w:r>
    </w:p>
    <w:p w14:paraId="2BDFD977" w14:textId="5268DC7D" w:rsidR="00F84F95" w:rsidRPr="00F84F95" w:rsidRDefault="00F84F95" w:rsidP="00F84F95">
      <w:pPr>
        <w:spacing w:after="100" w:line="276" w:lineRule="auto"/>
        <w:ind w:left="100"/>
        <w:jc w:val="both"/>
        <w:rPr>
          <w:rFonts w:eastAsia="Arial"/>
          <w:sz w:val="24"/>
          <w:szCs w:val="24"/>
          <w:lang w:eastAsia="pt-BR"/>
        </w:rPr>
      </w:pPr>
      <w:r w:rsidRPr="00CA7DDA">
        <w:rPr>
          <w:rFonts w:eastAsia="Arial"/>
          <w:sz w:val="24"/>
          <w:szCs w:val="24"/>
          <w:lang w:eastAsia="pt-BR"/>
        </w:rPr>
        <w:t xml:space="preserve">1.1 O </w:t>
      </w:r>
      <w:r w:rsidR="00F43E1B" w:rsidRPr="00CA7DDA">
        <w:rPr>
          <w:rFonts w:eastAsia="Arial"/>
          <w:sz w:val="24"/>
          <w:szCs w:val="24"/>
          <w:lang w:eastAsia="pt-BR"/>
        </w:rPr>
        <w:t>MUNICIPIO DE EMAS</w:t>
      </w:r>
      <w:r w:rsidRPr="00CA7DDA">
        <w:rPr>
          <w:rFonts w:eastAsia="Arial"/>
          <w:sz w:val="24"/>
          <w:szCs w:val="24"/>
          <w:lang w:eastAsia="pt-BR"/>
        </w:rPr>
        <w:t>, neste ato representado p</w:t>
      </w:r>
      <w:r w:rsidR="00F43E1B" w:rsidRPr="00CA7DDA">
        <w:rPr>
          <w:rFonts w:eastAsia="Arial"/>
          <w:sz w:val="24"/>
          <w:szCs w:val="24"/>
          <w:lang w:eastAsia="pt-BR"/>
        </w:rPr>
        <w:t>ela</w:t>
      </w:r>
      <w:r w:rsidRPr="00CA7DDA">
        <w:rPr>
          <w:rFonts w:eastAsia="Arial"/>
          <w:sz w:val="24"/>
          <w:szCs w:val="24"/>
          <w:lang w:eastAsia="pt-BR"/>
        </w:rPr>
        <w:t xml:space="preserve">  </w:t>
      </w:r>
      <w:r w:rsidR="00F43E1B" w:rsidRPr="00CA7DDA">
        <w:rPr>
          <w:rFonts w:eastAsia="Arial"/>
          <w:sz w:val="24"/>
          <w:szCs w:val="24"/>
          <w:lang w:eastAsia="pt-BR"/>
        </w:rPr>
        <w:t>SECRETÁRIA DE CULTURA</w:t>
      </w:r>
      <w:r w:rsidRPr="00CA7DDA">
        <w:rPr>
          <w:rFonts w:eastAsia="Arial"/>
          <w:sz w:val="24"/>
          <w:szCs w:val="24"/>
          <w:lang w:eastAsia="pt-BR"/>
        </w:rPr>
        <w:t xml:space="preserve">, Senhora </w:t>
      </w:r>
      <w:r w:rsidR="006B408E" w:rsidRPr="00CA7DDA">
        <w:rPr>
          <w:rFonts w:eastAsia="Arial"/>
          <w:sz w:val="24"/>
          <w:szCs w:val="24"/>
          <w:lang w:eastAsia="pt-BR"/>
        </w:rPr>
        <w:t>MARIVALDA GOMES EVANGELISTA</w:t>
      </w:r>
      <w:r w:rsidRPr="00CA7DDA">
        <w:rPr>
          <w:rFonts w:eastAsia="Arial"/>
          <w:sz w:val="24"/>
          <w:szCs w:val="24"/>
          <w:lang w:eastAsia="pt-BR"/>
        </w:rPr>
        <w:t xml:space="preserve">, e o(a) AGENTE CULTURAL, </w:t>
      </w:r>
      <w:r w:rsidR="006B408E" w:rsidRPr="00CA7DDA">
        <w:rPr>
          <w:rFonts w:eastAsia="Arial"/>
          <w:sz w:val="24"/>
          <w:szCs w:val="24"/>
          <w:lang w:eastAsia="pt-BR"/>
        </w:rPr>
        <w:t>_________________________</w:t>
      </w:r>
      <w:r w:rsidRPr="00CA7DDA">
        <w:rPr>
          <w:rFonts w:eastAsia="Arial"/>
          <w:sz w:val="24"/>
          <w:szCs w:val="24"/>
          <w:lang w:eastAsia="pt-BR"/>
        </w:rPr>
        <w:t>,</w:t>
      </w:r>
      <w:r w:rsidR="00D24F3B" w:rsidRPr="00CA7DDA">
        <w:rPr>
          <w:rFonts w:eastAsia="Arial"/>
          <w:sz w:val="24"/>
          <w:szCs w:val="24"/>
          <w:lang w:eastAsia="pt-BR"/>
        </w:rPr>
        <w:t xml:space="preserve"> </w:t>
      </w:r>
      <w:r w:rsidRPr="00F84F95">
        <w:rPr>
          <w:rFonts w:eastAsia="Arial"/>
          <w:sz w:val="24"/>
          <w:szCs w:val="24"/>
          <w:lang w:eastAsia="pt-BR"/>
        </w:rPr>
        <w:t xml:space="preserve">portador(a) do RG nº </w:t>
      </w:r>
      <w:r w:rsidR="00D24F3B">
        <w:rPr>
          <w:rFonts w:eastAsia="Arial"/>
          <w:sz w:val="24"/>
          <w:szCs w:val="24"/>
          <w:lang w:eastAsia="pt-BR"/>
        </w:rPr>
        <w:t>_________</w:t>
      </w:r>
      <w:r w:rsidRPr="00F84F95">
        <w:rPr>
          <w:rFonts w:eastAsia="Arial"/>
          <w:sz w:val="24"/>
          <w:szCs w:val="24"/>
          <w:lang w:eastAsia="pt-BR"/>
        </w:rPr>
        <w:t xml:space="preserve">, expedida em </w:t>
      </w:r>
      <w:r w:rsidR="00D24F3B">
        <w:rPr>
          <w:rFonts w:eastAsia="Arial"/>
          <w:sz w:val="24"/>
          <w:szCs w:val="24"/>
          <w:lang w:eastAsia="pt-BR"/>
        </w:rPr>
        <w:t>______</w:t>
      </w:r>
      <w:r w:rsidRPr="00F84F95">
        <w:rPr>
          <w:rFonts w:eastAsia="Arial"/>
          <w:sz w:val="24"/>
          <w:szCs w:val="24"/>
          <w:lang w:eastAsia="pt-BR"/>
        </w:rPr>
        <w:t xml:space="preserve">, CPF nº </w:t>
      </w:r>
      <w:r w:rsidR="00D24F3B">
        <w:rPr>
          <w:rFonts w:eastAsia="Arial"/>
          <w:sz w:val="24"/>
          <w:szCs w:val="24"/>
          <w:lang w:eastAsia="pt-BR"/>
        </w:rPr>
        <w:t>_______________</w:t>
      </w:r>
      <w:r w:rsidRPr="00F84F95">
        <w:rPr>
          <w:rFonts w:eastAsia="Arial"/>
          <w:sz w:val="24"/>
          <w:szCs w:val="24"/>
          <w:lang w:eastAsia="pt-BR"/>
        </w:rPr>
        <w:t xml:space="preserve">, residente e domiciliado(a) à </w:t>
      </w:r>
      <w:r w:rsidR="00D24F3B">
        <w:rPr>
          <w:rFonts w:eastAsia="Arial"/>
          <w:sz w:val="24"/>
          <w:szCs w:val="24"/>
          <w:lang w:eastAsia="pt-BR"/>
        </w:rPr>
        <w:t>Rua ______________________</w:t>
      </w:r>
      <w:r w:rsidRPr="00F84F95">
        <w:rPr>
          <w:rFonts w:eastAsia="Arial"/>
          <w:sz w:val="24"/>
          <w:szCs w:val="24"/>
          <w:lang w:eastAsia="pt-BR"/>
        </w:rPr>
        <w:t xml:space="preserve">, CEP: </w:t>
      </w:r>
      <w:r w:rsidR="00D24F3B">
        <w:rPr>
          <w:rFonts w:eastAsia="Arial"/>
          <w:sz w:val="24"/>
          <w:szCs w:val="24"/>
          <w:lang w:eastAsia="pt-BR"/>
        </w:rPr>
        <w:t>____________</w:t>
      </w:r>
      <w:r w:rsidRPr="00F84F95">
        <w:rPr>
          <w:rFonts w:eastAsia="Arial"/>
          <w:sz w:val="24"/>
          <w:szCs w:val="24"/>
          <w:lang w:eastAsia="pt-BR"/>
        </w:rPr>
        <w:t xml:space="preserve">, telefones: </w:t>
      </w:r>
      <w:r w:rsidR="00D24F3B">
        <w:rPr>
          <w:rFonts w:eastAsia="Arial"/>
          <w:sz w:val="24"/>
          <w:szCs w:val="24"/>
          <w:lang w:eastAsia="pt-BR"/>
        </w:rPr>
        <w:t>__________</w:t>
      </w:r>
      <w:r w:rsidRPr="00F84F95">
        <w:rPr>
          <w:rFonts w:eastAsia="Arial"/>
          <w:sz w:val="24"/>
          <w:szCs w:val="24"/>
          <w:lang w:eastAsia="pt-BR"/>
        </w:rPr>
        <w:t>, resolvem firmar o presente Termo de Execução Cultural, de acordo com as seguintes condições:</w:t>
      </w:r>
    </w:p>
    <w:p w14:paraId="45A684BF"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2. PROCEDIMENTO</w:t>
      </w:r>
    </w:p>
    <w:p w14:paraId="203F628D" w14:textId="77777777" w:rsidR="00F84F95" w:rsidRPr="00F84F95" w:rsidRDefault="00F84F95" w:rsidP="00F84F95">
      <w:pPr>
        <w:spacing w:after="120" w:line="276" w:lineRule="auto"/>
        <w:ind w:left="100"/>
        <w:jc w:val="both"/>
        <w:rPr>
          <w:rFonts w:eastAsia="Arial"/>
          <w:sz w:val="24"/>
          <w:szCs w:val="24"/>
          <w:lang w:eastAsia="pt-BR"/>
        </w:rPr>
      </w:pPr>
      <w:r w:rsidRPr="00F84F95">
        <w:rPr>
          <w:rFonts w:eastAsia="Arial"/>
          <w:sz w:val="24"/>
          <w:szCs w:val="24"/>
          <w:lang w:eastAsia="pt-BR"/>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3AB47E36"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3. OBJETO</w:t>
      </w:r>
    </w:p>
    <w:p w14:paraId="395A9FEE"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3.1. Este Termo de Execução Cultural tem por objeto a concessão de apoio financeiro ao projeto cultural </w:t>
      </w:r>
      <w:r w:rsidRPr="00D24F3B">
        <w:rPr>
          <w:rFonts w:eastAsia="Arial"/>
          <w:color w:val="EE0000"/>
          <w:sz w:val="24"/>
          <w:szCs w:val="24"/>
          <w:lang w:eastAsia="pt-BR"/>
        </w:rPr>
        <w:t>[INDICAR NOME DO PROJETO]</w:t>
      </w:r>
      <w:r w:rsidRPr="00F84F95">
        <w:rPr>
          <w:rFonts w:eastAsia="Arial"/>
          <w:sz w:val="24"/>
          <w:szCs w:val="24"/>
          <w:lang w:eastAsia="pt-BR"/>
        </w:rPr>
        <w:t xml:space="preserve">, contemplado no conforme processo administrativo nº </w:t>
      </w:r>
      <w:r w:rsidRPr="00CA7DDA">
        <w:rPr>
          <w:rFonts w:eastAsia="Arial"/>
          <w:color w:val="EE0000"/>
          <w:sz w:val="24"/>
          <w:szCs w:val="24"/>
          <w:lang w:eastAsia="pt-BR"/>
        </w:rPr>
        <w:t xml:space="preserve">[INDICAR NÚMERO DO PROCESSO]. </w:t>
      </w:r>
    </w:p>
    <w:p w14:paraId="64B63DC8"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 xml:space="preserve">4. RECURSOS FINANCEIROS </w:t>
      </w:r>
    </w:p>
    <w:p w14:paraId="3E6D1712" w14:textId="77777777" w:rsidR="00F84F95" w:rsidRPr="00CA7DDA" w:rsidRDefault="00F84F95" w:rsidP="00F84F95">
      <w:pPr>
        <w:spacing w:after="100" w:line="276" w:lineRule="auto"/>
        <w:ind w:left="100"/>
        <w:jc w:val="both"/>
        <w:rPr>
          <w:rFonts w:eastAsia="Arial"/>
          <w:color w:val="EE0000"/>
          <w:sz w:val="24"/>
          <w:szCs w:val="24"/>
          <w:lang w:eastAsia="pt-BR"/>
        </w:rPr>
      </w:pPr>
      <w:r w:rsidRPr="00F84F95">
        <w:rPr>
          <w:rFonts w:eastAsia="Arial"/>
          <w:sz w:val="24"/>
          <w:szCs w:val="24"/>
          <w:lang w:eastAsia="pt-BR"/>
        </w:rPr>
        <w:t xml:space="preserve">4.1. Os recursos financeiros para a execução do presente termo totalizam o montante de R$ </w:t>
      </w:r>
      <w:r w:rsidRPr="00CA7DDA">
        <w:rPr>
          <w:rFonts w:eastAsia="Arial"/>
          <w:color w:val="EE0000"/>
          <w:sz w:val="24"/>
          <w:szCs w:val="24"/>
          <w:lang w:eastAsia="pt-BR"/>
        </w:rPr>
        <w:t>[INDICAR VALOR EM NÚMERO ARÁBICO] ([INDICAR VALOR POR EXTENSO] reais).</w:t>
      </w:r>
    </w:p>
    <w:p w14:paraId="7A1AD937"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lastRenderedPageBreak/>
        <w:t xml:space="preserve">4.2. Serão transferidos à conta do(a) AGENTE CULTURAL, especialmente aberta no </w:t>
      </w:r>
      <w:r w:rsidRPr="00CA7DDA">
        <w:rPr>
          <w:rFonts w:eastAsia="Arial"/>
          <w:color w:val="EE0000"/>
          <w:sz w:val="24"/>
          <w:szCs w:val="24"/>
          <w:lang w:eastAsia="pt-BR"/>
        </w:rPr>
        <w:t>[NOME DO BANCO]</w:t>
      </w:r>
      <w:r w:rsidRPr="00F84F95">
        <w:rPr>
          <w:rFonts w:eastAsia="Arial"/>
          <w:sz w:val="24"/>
          <w:szCs w:val="24"/>
          <w:lang w:eastAsia="pt-BR"/>
        </w:rPr>
        <w:t xml:space="preserve">, Agência </w:t>
      </w:r>
      <w:r w:rsidRPr="00CA7DDA">
        <w:rPr>
          <w:rFonts w:eastAsia="Arial"/>
          <w:color w:val="EE0000"/>
          <w:sz w:val="24"/>
          <w:szCs w:val="24"/>
          <w:lang w:eastAsia="pt-BR"/>
        </w:rPr>
        <w:t xml:space="preserve">[INDICAR AGÊNCIA], </w:t>
      </w:r>
      <w:r w:rsidRPr="00F84F95">
        <w:rPr>
          <w:rFonts w:eastAsia="Arial"/>
          <w:sz w:val="24"/>
          <w:szCs w:val="24"/>
          <w:lang w:eastAsia="pt-BR"/>
        </w:rPr>
        <w:t xml:space="preserve">Conta Corrente nº </w:t>
      </w:r>
      <w:r w:rsidRPr="00CA7DDA">
        <w:rPr>
          <w:rFonts w:eastAsia="Arial"/>
          <w:color w:val="EE0000"/>
          <w:sz w:val="24"/>
          <w:szCs w:val="24"/>
          <w:lang w:eastAsia="pt-BR"/>
        </w:rPr>
        <w:t>[INDICAR CONTA]</w:t>
      </w:r>
      <w:r w:rsidRPr="00F84F95">
        <w:rPr>
          <w:rFonts w:eastAsia="Arial"/>
          <w:sz w:val="24"/>
          <w:szCs w:val="24"/>
          <w:lang w:eastAsia="pt-BR"/>
        </w:rPr>
        <w:t>, para recebimento e movimentação.</w:t>
      </w:r>
    </w:p>
    <w:p w14:paraId="730BFE5A"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5. APLICAÇÃO DOS RECURSOS</w:t>
      </w:r>
    </w:p>
    <w:p w14:paraId="2E29A7C6"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5.1 Os rendimentos de ativos financeiros poderão ser aplicados para o alcance do objeto, sem a necessidade de autorização prévia.</w:t>
      </w:r>
    </w:p>
    <w:p w14:paraId="0F16321F"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6. OBRIGAÇÕES</w:t>
      </w:r>
    </w:p>
    <w:p w14:paraId="618D84E9" w14:textId="5A1406F4" w:rsidR="00F84F95" w:rsidRPr="00F84F95" w:rsidRDefault="00F84F95" w:rsidP="00F84F95">
      <w:pPr>
        <w:spacing w:after="100" w:line="276" w:lineRule="auto"/>
        <w:ind w:left="100"/>
        <w:jc w:val="both"/>
        <w:rPr>
          <w:rFonts w:eastAsia="Arial"/>
          <w:color w:val="FF0000"/>
          <w:sz w:val="24"/>
          <w:szCs w:val="24"/>
          <w:lang w:eastAsia="pt-BR"/>
        </w:rPr>
      </w:pPr>
      <w:r w:rsidRPr="00F84F95">
        <w:rPr>
          <w:rFonts w:eastAsia="Arial"/>
          <w:sz w:val="24"/>
          <w:szCs w:val="24"/>
          <w:lang w:eastAsia="pt-BR"/>
        </w:rPr>
        <w:t>6.1 São obrigações da</w:t>
      </w:r>
      <w:r w:rsidR="00E72D89">
        <w:rPr>
          <w:rFonts w:eastAsia="Arial"/>
          <w:sz w:val="24"/>
          <w:szCs w:val="24"/>
          <w:lang w:eastAsia="pt-BR"/>
        </w:rPr>
        <w:t xml:space="preserve"> Secretaria de Cultura:</w:t>
      </w:r>
    </w:p>
    <w:p w14:paraId="0D30BA96" w14:textId="77777777" w:rsidR="00F84F95" w:rsidRPr="00F84F95" w:rsidRDefault="00F84F95" w:rsidP="00971722">
      <w:pPr>
        <w:spacing w:after="0" w:line="276" w:lineRule="auto"/>
        <w:ind w:left="100"/>
        <w:jc w:val="both"/>
        <w:rPr>
          <w:rFonts w:eastAsia="Arial"/>
          <w:sz w:val="24"/>
          <w:szCs w:val="24"/>
          <w:lang w:eastAsia="pt-BR"/>
        </w:rPr>
      </w:pPr>
      <w:r w:rsidRPr="00F84F95">
        <w:rPr>
          <w:rFonts w:eastAsia="Arial"/>
          <w:sz w:val="24"/>
          <w:szCs w:val="24"/>
          <w:lang w:eastAsia="pt-BR"/>
        </w:rPr>
        <w:t xml:space="preserve">I) transferir os recursos ao(a) AGENTE CULTURAL; </w:t>
      </w:r>
    </w:p>
    <w:p w14:paraId="2172BB1A" w14:textId="77777777" w:rsidR="00F84F95" w:rsidRPr="00F84F95" w:rsidRDefault="00F84F95" w:rsidP="00971722">
      <w:pPr>
        <w:spacing w:after="0" w:line="276" w:lineRule="auto"/>
        <w:ind w:left="100"/>
        <w:jc w:val="both"/>
        <w:rPr>
          <w:rFonts w:eastAsia="Arial"/>
          <w:sz w:val="24"/>
          <w:szCs w:val="24"/>
          <w:lang w:eastAsia="pt-BR"/>
        </w:rPr>
      </w:pPr>
      <w:r w:rsidRPr="00F84F95">
        <w:rPr>
          <w:rFonts w:eastAsia="Arial"/>
          <w:sz w:val="24"/>
          <w:szCs w:val="24"/>
          <w:lang w:eastAsia="pt-BR"/>
        </w:rPr>
        <w:t xml:space="preserve">II) orientar o(a) AGENTE CULTURAL sobre o procedimento para a prestação de informações dos recursos concedidos; </w:t>
      </w:r>
    </w:p>
    <w:p w14:paraId="4980872C" w14:textId="77777777" w:rsidR="00F84F95" w:rsidRPr="00F84F95" w:rsidRDefault="00F84F95" w:rsidP="00971722">
      <w:pPr>
        <w:spacing w:after="0" w:line="276" w:lineRule="auto"/>
        <w:ind w:left="100"/>
        <w:jc w:val="both"/>
        <w:rPr>
          <w:rFonts w:eastAsia="Arial"/>
          <w:sz w:val="24"/>
          <w:szCs w:val="24"/>
          <w:lang w:eastAsia="pt-BR"/>
        </w:rPr>
      </w:pPr>
      <w:r w:rsidRPr="00F84F95">
        <w:rPr>
          <w:rFonts w:eastAsia="Arial"/>
          <w:sz w:val="24"/>
          <w:szCs w:val="24"/>
          <w:lang w:eastAsia="pt-BR"/>
        </w:rPr>
        <w:t xml:space="preserve">III) analisar e emitir parecer sobre os relatórios e sobre a prestação de informações apresentados pelo(a) AGENTE CULTURAL; </w:t>
      </w:r>
    </w:p>
    <w:p w14:paraId="62CE7BB3" w14:textId="77777777" w:rsidR="00F84F95" w:rsidRPr="00F84F95" w:rsidRDefault="00F84F95" w:rsidP="00971722">
      <w:pPr>
        <w:spacing w:after="0" w:line="276" w:lineRule="auto"/>
        <w:ind w:left="100"/>
        <w:jc w:val="both"/>
        <w:rPr>
          <w:rFonts w:eastAsia="Arial"/>
          <w:sz w:val="24"/>
          <w:szCs w:val="24"/>
          <w:lang w:eastAsia="pt-BR"/>
        </w:rPr>
      </w:pPr>
      <w:r w:rsidRPr="00F84F95">
        <w:rPr>
          <w:rFonts w:eastAsia="Arial"/>
          <w:sz w:val="24"/>
          <w:szCs w:val="24"/>
          <w:lang w:eastAsia="pt-BR"/>
        </w:rPr>
        <w:t xml:space="preserve">IV) zelar pelo fiel cumprimento deste termo de execução cultural; </w:t>
      </w:r>
    </w:p>
    <w:p w14:paraId="266C5E44" w14:textId="77777777" w:rsidR="00F84F95" w:rsidRPr="00F84F95" w:rsidRDefault="00F84F95" w:rsidP="00971722">
      <w:pPr>
        <w:spacing w:after="0" w:line="276" w:lineRule="auto"/>
        <w:ind w:left="100"/>
        <w:jc w:val="both"/>
        <w:rPr>
          <w:rFonts w:eastAsia="Arial"/>
          <w:sz w:val="24"/>
          <w:szCs w:val="24"/>
          <w:lang w:eastAsia="pt-BR"/>
        </w:rPr>
      </w:pPr>
      <w:r w:rsidRPr="00F84F95">
        <w:rPr>
          <w:rFonts w:eastAsia="Arial"/>
          <w:sz w:val="24"/>
          <w:szCs w:val="24"/>
          <w:lang w:eastAsia="pt-BR"/>
        </w:rPr>
        <w:t>V) adotar medidas saneadoras e corretivas quando houver inadimplemento;</w:t>
      </w:r>
    </w:p>
    <w:p w14:paraId="2669212F"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VI) monitorar o cumprimento pelo(a) AGENTE CULTURAL das obrigações previstas na CLÁUSULA 6.2.</w:t>
      </w:r>
    </w:p>
    <w:p w14:paraId="2A2AD0AE"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6.2 São obrigações do(a) AGENTE CULTURAL: </w:t>
      </w:r>
    </w:p>
    <w:p w14:paraId="47947D6D"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 xml:space="preserve">I) executar a ação cultural aprovada; </w:t>
      </w:r>
    </w:p>
    <w:p w14:paraId="269C8CC0"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 xml:space="preserve">II) aplicar os recursos concedidos na realização da ação cultural; </w:t>
      </w:r>
    </w:p>
    <w:p w14:paraId="5ED06688"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III) manter, obrigatória e exclusivamente, os recursos financeiros depositados na conta especialmente aberta para o Termo de Execução Cultural;</w:t>
      </w:r>
    </w:p>
    <w:p w14:paraId="7BFA65DD"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IV) facilitar o monitoramento, o controle e supervisão do termo de execução cultural bem como o acesso ao local de realização da ação cultural;</w:t>
      </w:r>
    </w:p>
    <w:p w14:paraId="5022D628" w14:textId="21DB3D3A"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V) prestar informações à</w:t>
      </w:r>
      <w:r w:rsidR="002732E0">
        <w:rPr>
          <w:rFonts w:eastAsia="Arial"/>
          <w:sz w:val="24"/>
          <w:szCs w:val="24"/>
          <w:lang w:eastAsia="pt-BR"/>
        </w:rPr>
        <w:t xml:space="preserve"> SECULT</w:t>
      </w:r>
      <w:r w:rsidRPr="00F84F95">
        <w:rPr>
          <w:rFonts w:eastAsia="Arial"/>
          <w:color w:val="FF0000"/>
          <w:sz w:val="24"/>
          <w:szCs w:val="24"/>
          <w:lang w:eastAsia="pt-BR"/>
        </w:rPr>
        <w:t xml:space="preserve"> </w:t>
      </w:r>
      <w:r w:rsidRPr="00F84F95">
        <w:rPr>
          <w:rFonts w:eastAsia="Arial"/>
          <w:sz w:val="24"/>
          <w:szCs w:val="24"/>
          <w:lang w:eastAsia="pt-BR"/>
        </w:rPr>
        <w:t>por meio de Relatório de Execução do Objeto, apresentado no prazo máximo de</w:t>
      </w:r>
      <w:r w:rsidR="0024402D">
        <w:rPr>
          <w:rFonts w:eastAsia="Arial"/>
          <w:sz w:val="24"/>
          <w:szCs w:val="24"/>
          <w:lang w:eastAsia="pt-BR"/>
        </w:rPr>
        <w:t xml:space="preserve"> </w:t>
      </w:r>
      <w:r w:rsidR="002946B8">
        <w:rPr>
          <w:rFonts w:eastAsia="Arial"/>
          <w:sz w:val="24"/>
          <w:szCs w:val="24"/>
          <w:lang w:eastAsia="pt-BR"/>
        </w:rPr>
        <w:t>3 meses</w:t>
      </w:r>
      <w:r w:rsidRPr="00F84F95">
        <w:rPr>
          <w:rFonts w:eastAsia="Arial"/>
          <w:sz w:val="24"/>
          <w:szCs w:val="24"/>
          <w:lang w:eastAsia="pt-BR"/>
        </w:rPr>
        <w:t xml:space="preserve"> contados do término da vigência do termo de execução cultural;</w:t>
      </w:r>
    </w:p>
    <w:p w14:paraId="637E9492" w14:textId="1D63FCD9"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VI) atender a qualquer solicitação regular feita pel</w:t>
      </w:r>
      <w:r w:rsidR="002946B8">
        <w:rPr>
          <w:rFonts w:eastAsia="Arial"/>
          <w:sz w:val="24"/>
          <w:szCs w:val="24"/>
          <w:lang w:eastAsia="pt-BR"/>
        </w:rPr>
        <w:t>a SECULT</w:t>
      </w:r>
      <w:r w:rsidRPr="00F84F95">
        <w:rPr>
          <w:rFonts w:eastAsia="Arial"/>
          <w:sz w:val="24"/>
          <w:szCs w:val="24"/>
          <w:lang w:eastAsia="pt-BR"/>
        </w:rPr>
        <w:t xml:space="preserve"> a contar do recebimento da notificação; </w:t>
      </w:r>
    </w:p>
    <w:p w14:paraId="0A168F4A"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1E83D317"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 xml:space="preserve">VIII) não realizar despesa em data anterior ou posterior à vigência deste termo de execução cultural; </w:t>
      </w:r>
    </w:p>
    <w:p w14:paraId="4245DE97"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lastRenderedPageBreak/>
        <w:t xml:space="preserve">IX) guardar a documentação referente à prestação de informações e financeira pelo prazo de 5 anos, contados do fim da vigência deste Termo de Execução Cultural; </w:t>
      </w:r>
    </w:p>
    <w:p w14:paraId="0D791A67" w14:textId="77777777" w:rsidR="00F84F95" w:rsidRPr="00F84F95" w:rsidRDefault="00F84F95" w:rsidP="00682B9D">
      <w:pPr>
        <w:spacing w:after="0" w:line="276" w:lineRule="auto"/>
        <w:ind w:left="100"/>
        <w:jc w:val="both"/>
        <w:rPr>
          <w:rFonts w:eastAsia="Arial"/>
          <w:sz w:val="24"/>
          <w:szCs w:val="24"/>
          <w:lang w:eastAsia="pt-BR"/>
        </w:rPr>
      </w:pPr>
      <w:r w:rsidRPr="00F84F95">
        <w:rPr>
          <w:rFonts w:eastAsia="Arial"/>
          <w:sz w:val="24"/>
          <w:szCs w:val="24"/>
          <w:lang w:eastAsia="pt-BR"/>
        </w:rPr>
        <w:t>X) não utilizar os recursos para finalidade diversa da estabelecida no projeto cultural;</w:t>
      </w:r>
    </w:p>
    <w:p w14:paraId="79F6A932"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XI) encaminhar os documentos do novo dirigente, bem como nova ata de eleição ou termo de posse, em caso de falecimento ou substituição de dirigente da entidade cultural, caso seja agente cultural pessoa jurídica. </w:t>
      </w:r>
    </w:p>
    <w:p w14:paraId="0A164F2A" w14:textId="77777777" w:rsidR="00F84F95" w:rsidRPr="00F84F95" w:rsidRDefault="00F84F95" w:rsidP="00F84F95">
      <w:pPr>
        <w:spacing w:after="100" w:line="276" w:lineRule="auto"/>
        <w:ind w:left="100"/>
        <w:jc w:val="both"/>
        <w:rPr>
          <w:rFonts w:eastAsia="Arial"/>
          <w:b/>
          <w:bCs/>
          <w:color w:val="FF0000"/>
          <w:sz w:val="24"/>
          <w:szCs w:val="24"/>
          <w:lang w:eastAsia="pt-BR"/>
        </w:rPr>
      </w:pPr>
      <w:r w:rsidRPr="00F84F95">
        <w:rPr>
          <w:rFonts w:eastAsia="Arial"/>
          <w:b/>
          <w:bCs/>
          <w:color w:val="FF0000"/>
          <w:sz w:val="24"/>
          <w:szCs w:val="24"/>
          <w:lang w:eastAsia="pt-BR"/>
        </w:rPr>
        <w:t>7. PRESTAÇÃO DE INFORMAÇÕES EM RELATÓRIO DE EXECUÇÃO DO OBJETO</w:t>
      </w:r>
    </w:p>
    <w:p w14:paraId="6A9AEA22"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7.1 O agente cultural prestará contas à administração pública por meio da apresentação de Relatório de Objeto da Execução Cultural, no prazo de até 120 dias a contar do fim da vigência deste Termo de Execução Cultural. </w:t>
      </w:r>
    </w:p>
    <w:p w14:paraId="5414FCBB"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7.1.1 O Relatório de Objeto da Execução Cultural deverá:</w:t>
      </w:r>
    </w:p>
    <w:p w14:paraId="44307EBB"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comprovar</w:t>
      </w:r>
      <w:proofErr w:type="gramEnd"/>
      <w:r w:rsidRPr="00F84F95">
        <w:rPr>
          <w:rFonts w:eastAsia="Arial"/>
          <w:sz w:val="24"/>
          <w:szCs w:val="24"/>
          <w:lang w:eastAsia="pt-BR"/>
        </w:rPr>
        <w:t xml:space="preserve"> que foram alcançados os resultados da ação cultural;</w:t>
      </w:r>
    </w:p>
    <w:p w14:paraId="137A9BE3"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II - </w:t>
      </w:r>
      <w:proofErr w:type="gramStart"/>
      <w:r w:rsidRPr="00F84F95">
        <w:rPr>
          <w:rFonts w:eastAsia="Arial"/>
          <w:sz w:val="24"/>
          <w:szCs w:val="24"/>
          <w:lang w:eastAsia="pt-BR"/>
        </w:rPr>
        <w:t>conter</w:t>
      </w:r>
      <w:proofErr w:type="gramEnd"/>
      <w:r w:rsidRPr="00F84F95">
        <w:rPr>
          <w:rFonts w:eastAsia="Arial"/>
          <w:sz w:val="24"/>
          <w:szCs w:val="24"/>
          <w:lang w:eastAsia="pt-BR"/>
        </w:rPr>
        <w:t xml:space="preserve"> a descrição das ações desenvolvidas para o cumprimento do objeto; </w:t>
      </w:r>
    </w:p>
    <w:p w14:paraId="61BAFFAC"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III - ter anexados documentos de comprovação do cumprimento do objeto, tais como: Declarações de realização dos eventos, com registro fotográfico ou audiovisual, clipping de matérias jornalísticas, releases, folders, catálogos, panfletos, filipetas, bem como outros documentos pertinentes à execução do projeto. </w:t>
      </w:r>
    </w:p>
    <w:p w14:paraId="5DEF49C4"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7.2 O agente público responsável pela análise do Relatório de Objeto da Execução Cultural deverá elaborar parecer técnico em que concluirá:</w:t>
      </w:r>
    </w:p>
    <w:p w14:paraId="3FEDCDB4"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pelo</w:t>
      </w:r>
      <w:proofErr w:type="gramEnd"/>
      <w:r w:rsidRPr="00F84F95">
        <w:rPr>
          <w:rFonts w:eastAsia="Arial"/>
          <w:sz w:val="24"/>
          <w:szCs w:val="24"/>
          <w:lang w:eastAsia="pt-BR"/>
        </w:rPr>
        <w:t xml:space="preserve"> cumprimento integral do objeto ou pela suficiência do cumprimento parcial devidamente justificada e providenciará imediato encaminhamento do processo à autoridade julgadora;</w:t>
      </w:r>
    </w:p>
    <w:p w14:paraId="20F942A4"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II - </w:t>
      </w:r>
      <w:proofErr w:type="gramStart"/>
      <w:r w:rsidRPr="00F84F95">
        <w:rPr>
          <w:rFonts w:eastAsia="Arial"/>
          <w:sz w:val="24"/>
          <w:szCs w:val="24"/>
          <w:lang w:eastAsia="pt-BR"/>
        </w:rPr>
        <w:t>pela</w:t>
      </w:r>
      <w:proofErr w:type="gramEnd"/>
      <w:r w:rsidRPr="00F84F95">
        <w:rPr>
          <w:rFonts w:eastAsia="Arial"/>
          <w:sz w:val="24"/>
          <w:szCs w:val="24"/>
          <w:lang w:eastAsia="pt-BR"/>
        </w:rPr>
        <w:t xml:space="preserve"> necessidade de o agente cultural apresentar documentação complementar relativa ao cumprimento do objeto;</w:t>
      </w:r>
    </w:p>
    <w:p w14:paraId="157E55A9"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III - pela necessidade de o agente cultural apresentar Relatório Financeiro da Execução Cultural, caso considere os elementos contidos no Relatório de Objeto da Execução Cultural e na documentação complementar insuficientes para demonstrar o cumprimento integral do objeto ou o cumprimento parcial justificado.</w:t>
      </w:r>
    </w:p>
    <w:p w14:paraId="2AA90432"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7.3 Após o recebimento do processo pelo agente público de que trata o item 7.2, autoridade responsável pelo julgamento da prestação de informações poderá:</w:t>
      </w:r>
    </w:p>
    <w:p w14:paraId="3112B6CD"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solicitar</w:t>
      </w:r>
      <w:proofErr w:type="gramEnd"/>
      <w:r w:rsidRPr="00F84F95">
        <w:rPr>
          <w:rFonts w:eastAsia="Arial"/>
          <w:sz w:val="24"/>
          <w:szCs w:val="24"/>
          <w:lang w:eastAsia="pt-BR"/>
        </w:rPr>
        <w:t xml:space="preserve"> documentação complementar; </w:t>
      </w:r>
    </w:p>
    <w:p w14:paraId="35FB98A3"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II - </w:t>
      </w:r>
      <w:proofErr w:type="gramStart"/>
      <w:r w:rsidRPr="00F84F95">
        <w:rPr>
          <w:rFonts w:eastAsia="Arial"/>
          <w:sz w:val="24"/>
          <w:szCs w:val="24"/>
          <w:lang w:eastAsia="pt-BR"/>
        </w:rPr>
        <w:t>aprovar</w:t>
      </w:r>
      <w:proofErr w:type="gramEnd"/>
      <w:r w:rsidRPr="00F84F95">
        <w:rPr>
          <w:rFonts w:eastAsia="Arial"/>
          <w:sz w:val="24"/>
          <w:szCs w:val="24"/>
          <w:lang w:eastAsia="pt-BR"/>
        </w:rPr>
        <w:t xml:space="preserve"> sem ressalvas a prestação de contas, quando estiver convencida do cumprimento integral do objeto;</w:t>
      </w:r>
    </w:p>
    <w:p w14:paraId="101B679B" w14:textId="77777777" w:rsidR="00F84F95" w:rsidRPr="00F84F95" w:rsidRDefault="00F84F95" w:rsidP="003E7130">
      <w:pPr>
        <w:spacing w:after="0" w:line="276" w:lineRule="auto"/>
        <w:ind w:left="100"/>
        <w:jc w:val="both"/>
        <w:rPr>
          <w:rFonts w:eastAsia="Arial"/>
          <w:sz w:val="24"/>
          <w:szCs w:val="24"/>
          <w:lang w:eastAsia="pt-BR"/>
        </w:rPr>
      </w:pPr>
      <w:r w:rsidRPr="00F84F95">
        <w:rPr>
          <w:rFonts w:eastAsia="Arial"/>
          <w:sz w:val="24"/>
          <w:szCs w:val="24"/>
          <w:lang w:eastAsia="pt-BR"/>
        </w:rPr>
        <w:t xml:space="preserve">III - aprovar com ressalvas a prestação de contas, quando for comprovada a realização da ação cultural, mas verificada inadequação na execução do objeto ou na execução financeira, sem má-fé; </w:t>
      </w:r>
    </w:p>
    <w:p w14:paraId="0662563E"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lastRenderedPageBreak/>
        <w:t xml:space="preserve">IV - </w:t>
      </w:r>
      <w:proofErr w:type="gramStart"/>
      <w:r w:rsidRPr="00F84F95">
        <w:rPr>
          <w:rFonts w:eastAsia="Arial"/>
          <w:sz w:val="24"/>
          <w:szCs w:val="24"/>
          <w:lang w:eastAsia="pt-BR"/>
        </w:rPr>
        <w:t>rejeitar</w:t>
      </w:r>
      <w:proofErr w:type="gramEnd"/>
      <w:r w:rsidRPr="00F84F95">
        <w:rPr>
          <w:rFonts w:eastAsia="Arial"/>
          <w:sz w:val="24"/>
          <w:szCs w:val="24"/>
          <w:lang w:eastAsia="pt-BR"/>
        </w:rPr>
        <w:t xml:space="preserve"> a prestação de contas, total ou parcialmente, e determinar uma das seguintes medidas:</w:t>
      </w:r>
    </w:p>
    <w:p w14:paraId="05932D18"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a) devolução de recursos em valor proporcional à inexecução de objeto verificada; </w:t>
      </w:r>
    </w:p>
    <w:p w14:paraId="7A359768"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b) pagamento de multa, nos termos do regulamento; </w:t>
      </w:r>
    </w:p>
    <w:p w14:paraId="74FE58A1"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c) suspensão da possibilidade de celebrar novo instrumento do regime próprio de fomento à cultura pelo prazo de 180 (cento e oitenta) a 540 (quinhentos e quarenta) dias. </w:t>
      </w:r>
    </w:p>
    <w:p w14:paraId="5C9B0F66"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7.4 O Relatório Financeiro da Execução Cultural será exigido, independente da modalidade inicial de prestação de informações (in loco ou em relatório de execução do objeto), somente nas seguintes hipóteses:</w:t>
      </w:r>
    </w:p>
    <w:p w14:paraId="43AAA016"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quando</w:t>
      </w:r>
      <w:proofErr w:type="gramEnd"/>
      <w:r w:rsidRPr="00F84F95">
        <w:rPr>
          <w:rFonts w:eastAsia="Arial"/>
          <w:sz w:val="24"/>
          <w:szCs w:val="24"/>
          <w:lang w:eastAsia="pt-BR"/>
        </w:rPr>
        <w:t xml:space="preserve"> não estiver comprovado o cumprimento do objeto, observados os procedimentos previstos nos itens anteriores; ou</w:t>
      </w:r>
    </w:p>
    <w:p w14:paraId="03CC3247"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II - </w:t>
      </w:r>
      <w:proofErr w:type="gramStart"/>
      <w:r w:rsidRPr="00F84F95">
        <w:rPr>
          <w:rFonts w:eastAsia="Arial"/>
          <w:sz w:val="24"/>
          <w:szCs w:val="24"/>
          <w:lang w:eastAsia="pt-BR"/>
        </w:rPr>
        <w:t>quando</w:t>
      </w:r>
      <w:proofErr w:type="gramEnd"/>
      <w:r w:rsidRPr="00F84F95">
        <w:rPr>
          <w:rFonts w:eastAsia="Arial"/>
          <w:sz w:val="24"/>
          <w:szCs w:val="24"/>
          <w:lang w:eastAsia="pt-BR"/>
        </w:rPr>
        <w:t xml:space="preserve"> for recebida, pela administração pública, denúncia de irregularidade na execução da ação cultural, mediante juízo de admissibilidade que avaliará os elementos fáticos apresentados.</w:t>
      </w:r>
    </w:p>
    <w:p w14:paraId="4BB18FCE"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7.4.1 O prazo para apresentação do Relatório Financeiro da Execução Cultural será de 120 dias contados do recebimento da notificação.</w:t>
      </w:r>
    </w:p>
    <w:p w14:paraId="75E6ACA5"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7.5 Na hipótese de o julgamento da prestação de informações apontar a necessidade de devolução de recursos, o agente cultural será notificado para que exerça a opção por:</w:t>
      </w:r>
    </w:p>
    <w:p w14:paraId="2D7A3BD7"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devolução</w:t>
      </w:r>
      <w:proofErr w:type="gramEnd"/>
      <w:r w:rsidRPr="00F84F95">
        <w:rPr>
          <w:rFonts w:eastAsia="Arial"/>
          <w:sz w:val="24"/>
          <w:szCs w:val="24"/>
          <w:lang w:eastAsia="pt-BR"/>
        </w:rPr>
        <w:t xml:space="preserve"> parcial ou integral dos recursos ao erário;</w:t>
      </w:r>
    </w:p>
    <w:p w14:paraId="4556715C"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II - </w:t>
      </w:r>
      <w:proofErr w:type="gramStart"/>
      <w:r w:rsidRPr="00F84F95">
        <w:rPr>
          <w:rFonts w:eastAsia="Arial"/>
          <w:sz w:val="24"/>
          <w:szCs w:val="24"/>
          <w:lang w:eastAsia="pt-BR"/>
        </w:rPr>
        <w:t>apresentação</w:t>
      </w:r>
      <w:proofErr w:type="gramEnd"/>
      <w:r w:rsidRPr="00F84F95">
        <w:rPr>
          <w:rFonts w:eastAsia="Arial"/>
          <w:sz w:val="24"/>
          <w:szCs w:val="24"/>
          <w:lang w:eastAsia="pt-BR"/>
        </w:rPr>
        <w:t xml:space="preserve"> de plano de ações compensatórias; ou</w:t>
      </w:r>
    </w:p>
    <w:p w14:paraId="2047B07D"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III - devolução parcial dos recursos ao erário juntamente com a apresentação de plano de ações compensatórias.</w:t>
      </w:r>
    </w:p>
    <w:p w14:paraId="794A6B9F"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7.5.1 A ocorrência de caso fortuito ou força maior impeditiva da execução do instrumento afasta a reprovação da prestação de informações, desde que comprovada.</w:t>
      </w:r>
    </w:p>
    <w:p w14:paraId="370FA627"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7.5.2 Nos casos em que estiver caracterizada má-fé do agente cultural, será imediatamente exigida a devolução de recursos ao erário, vedada a aceitação de plano de ações compensatórias.</w:t>
      </w:r>
    </w:p>
    <w:p w14:paraId="6E65F584"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7.5.3 Nos casos em que houver exigência de devolução de recursos ao erário, o agente cultural poderá solicitar o parcelamento do débito, na forma e nas condições previstas na legislação.</w:t>
      </w:r>
    </w:p>
    <w:p w14:paraId="5888B081"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8. ALTERAÇÃO DO TERMO DE EXECUÇÃO CULTURAL</w:t>
      </w:r>
    </w:p>
    <w:p w14:paraId="0EE81FE8"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8.1 A alteração do termo de execução cultural será formalizada por meio de termo aditivo.</w:t>
      </w:r>
    </w:p>
    <w:p w14:paraId="7A1CAEFD"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8.2 A formalização de termo aditivo não será necessária nas seguintes hipóteses:</w:t>
      </w:r>
    </w:p>
    <w:p w14:paraId="39722A74"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prorrogação</w:t>
      </w:r>
      <w:proofErr w:type="gramEnd"/>
      <w:r w:rsidRPr="00F84F95">
        <w:rPr>
          <w:rFonts w:eastAsia="Arial"/>
          <w:sz w:val="24"/>
          <w:szCs w:val="24"/>
          <w:lang w:eastAsia="pt-BR"/>
        </w:rPr>
        <w:t xml:space="preserve"> de vigência realizada de ofício pela administração pública quando der causa ao atraso na liberação de recursos; e</w:t>
      </w:r>
    </w:p>
    <w:p w14:paraId="6BD3786F"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lastRenderedPageBreak/>
        <w:t xml:space="preserve">II - </w:t>
      </w:r>
      <w:proofErr w:type="gramStart"/>
      <w:r w:rsidRPr="00F84F95">
        <w:rPr>
          <w:rFonts w:eastAsia="Arial"/>
          <w:sz w:val="24"/>
          <w:szCs w:val="24"/>
          <w:lang w:eastAsia="pt-BR"/>
        </w:rPr>
        <w:t>alteração</w:t>
      </w:r>
      <w:proofErr w:type="gramEnd"/>
      <w:r w:rsidRPr="00F84F95">
        <w:rPr>
          <w:rFonts w:eastAsia="Arial"/>
          <w:sz w:val="24"/>
          <w:szCs w:val="24"/>
          <w:lang w:eastAsia="pt-BR"/>
        </w:rPr>
        <w:t xml:space="preserve"> do projeto sem modificação do valor global do instrumento e sem modificação substancial do objeto.</w:t>
      </w:r>
    </w:p>
    <w:p w14:paraId="2AC0216D"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8.3 Na hipótese de prorrogação de vigência, o saldo de recursos será automaticamente mantido na conta a fim de viabilizar a continuidade da execução do objeto.</w:t>
      </w:r>
    </w:p>
    <w:p w14:paraId="27CF2A0A"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8.4 As alterações do projeto cujo escopo seja de, no máximo, 20% do valor total poderão ser realizadas pelo agente cultural e comunicadas à administração pública em seguida, sem a necessidade de autorização prévia.</w:t>
      </w:r>
    </w:p>
    <w:p w14:paraId="518C9A7F"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8.5 A aplicação de rendimentos de ativos financeiros em benefício do objeto do termo de execução cultural poderá ser realizada pelo agente cultural sem a necessidade de autorização prévia da administração pública.</w:t>
      </w:r>
    </w:p>
    <w:p w14:paraId="1A0FE450"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8.6 Nas hipóteses de alterações em que não seja necessário termo aditivo, poderá ser realizado apostilamento.</w:t>
      </w:r>
    </w:p>
    <w:p w14:paraId="6EB6934C"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9. TITULARIDADE DE BENS</w:t>
      </w:r>
    </w:p>
    <w:p w14:paraId="40F90EE4" w14:textId="14231CC4"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9.</w:t>
      </w:r>
      <w:r w:rsidR="006B1CAB">
        <w:rPr>
          <w:rFonts w:eastAsia="Arial"/>
          <w:sz w:val="24"/>
          <w:szCs w:val="24"/>
          <w:lang w:eastAsia="pt-BR"/>
        </w:rPr>
        <w:t>1</w:t>
      </w:r>
      <w:r w:rsidRPr="00F84F95">
        <w:rPr>
          <w:rFonts w:eastAsia="Arial"/>
          <w:sz w:val="24"/>
          <w:szCs w:val="24"/>
          <w:lang w:eastAsia="pt-BR"/>
        </w:rPr>
        <w:t xml:space="preserve"> Os bens permanentes adquiridos, produzidos ou transformados em decorrência da execução da ação cultural fomentada serão de titularidade </w:t>
      </w:r>
      <w:proofErr w:type="gramStart"/>
      <w:r w:rsidRPr="00F84F95">
        <w:rPr>
          <w:rFonts w:eastAsia="Arial"/>
          <w:sz w:val="24"/>
          <w:szCs w:val="24"/>
          <w:lang w:eastAsia="pt-BR"/>
        </w:rPr>
        <w:t>d</w:t>
      </w:r>
      <w:r w:rsidR="006B1CAB">
        <w:rPr>
          <w:rFonts w:eastAsia="Arial"/>
          <w:sz w:val="24"/>
          <w:szCs w:val="24"/>
          <w:lang w:eastAsia="pt-BR"/>
        </w:rPr>
        <w:t xml:space="preserve"> a</w:t>
      </w:r>
      <w:proofErr w:type="gramEnd"/>
      <w:r w:rsidR="006B1CAB">
        <w:rPr>
          <w:rFonts w:eastAsia="Arial"/>
          <w:sz w:val="24"/>
          <w:szCs w:val="24"/>
          <w:lang w:eastAsia="pt-BR"/>
        </w:rPr>
        <w:t xml:space="preserve"> Secretaria de Cultura.</w:t>
      </w:r>
    </w:p>
    <w:p w14:paraId="623B3FD0"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10. EXTINÇÃO DO TERMO DE EXECUÇÃO CULTURAL</w:t>
      </w:r>
    </w:p>
    <w:p w14:paraId="160C05B4"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10.1 O presente Termo de Execução Cultural poderá ser:</w:t>
      </w:r>
    </w:p>
    <w:p w14:paraId="66437685"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I - </w:t>
      </w:r>
      <w:proofErr w:type="gramStart"/>
      <w:r w:rsidRPr="00F84F95">
        <w:rPr>
          <w:rFonts w:eastAsia="Arial"/>
          <w:sz w:val="24"/>
          <w:szCs w:val="24"/>
          <w:lang w:eastAsia="pt-BR"/>
        </w:rPr>
        <w:t>extinto</w:t>
      </w:r>
      <w:proofErr w:type="gramEnd"/>
      <w:r w:rsidRPr="00F84F95">
        <w:rPr>
          <w:rFonts w:eastAsia="Arial"/>
          <w:sz w:val="24"/>
          <w:szCs w:val="24"/>
          <w:lang w:eastAsia="pt-BR"/>
        </w:rPr>
        <w:t xml:space="preserve"> por decurso de prazo;</w:t>
      </w:r>
    </w:p>
    <w:p w14:paraId="4526CBFF"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 xml:space="preserve">II - </w:t>
      </w:r>
      <w:proofErr w:type="gramStart"/>
      <w:r w:rsidRPr="00F84F95">
        <w:rPr>
          <w:rFonts w:eastAsia="Arial"/>
          <w:sz w:val="24"/>
          <w:szCs w:val="24"/>
          <w:lang w:eastAsia="pt-BR"/>
        </w:rPr>
        <w:t>extinto</w:t>
      </w:r>
      <w:proofErr w:type="gramEnd"/>
      <w:r w:rsidRPr="00F84F95">
        <w:rPr>
          <w:rFonts w:eastAsia="Arial"/>
          <w:sz w:val="24"/>
          <w:szCs w:val="24"/>
          <w:lang w:eastAsia="pt-BR"/>
        </w:rPr>
        <w:t>, de comum acordo antes do prazo avençado, mediante Termo de Distrato;</w:t>
      </w:r>
    </w:p>
    <w:p w14:paraId="7C6CBCE4" w14:textId="77777777" w:rsidR="00F84F95" w:rsidRPr="00F84F95" w:rsidRDefault="00F84F95" w:rsidP="00EB0903">
      <w:pPr>
        <w:spacing w:after="0" w:line="276" w:lineRule="auto"/>
        <w:ind w:left="100"/>
        <w:jc w:val="both"/>
        <w:rPr>
          <w:rFonts w:eastAsia="Aptos"/>
          <w:sz w:val="24"/>
          <w:szCs w:val="24"/>
          <w:lang w:eastAsia="pt-BR"/>
        </w:rPr>
      </w:pPr>
      <w:r w:rsidRPr="00F84F95">
        <w:rPr>
          <w:rFonts w:eastAsia="Arial"/>
          <w:sz w:val="24"/>
          <w:szCs w:val="24"/>
          <w:lang w:eastAsia="pt-BR"/>
        </w:rPr>
        <w:t xml:space="preserve">III - </w:t>
      </w:r>
      <w:r w:rsidRPr="00F84F95">
        <w:rPr>
          <w:rFonts w:eastAsia="Aptos"/>
          <w:sz w:val="24"/>
          <w:szCs w:val="24"/>
          <w:lang w:eastAsia="pt-BR"/>
        </w:rPr>
        <w:t>denunciado, por decisão unilateral de qualquer dos partícipes, independentemente de autorização judicial, mediante prévia notificação por escrito ao outro partícipe; ou</w:t>
      </w:r>
    </w:p>
    <w:p w14:paraId="72976D10" w14:textId="77777777" w:rsidR="00F84F95" w:rsidRPr="00F84F95" w:rsidRDefault="00F84F95" w:rsidP="00F84F95">
      <w:pPr>
        <w:spacing w:after="100" w:line="276" w:lineRule="auto"/>
        <w:ind w:left="100"/>
        <w:jc w:val="both"/>
        <w:rPr>
          <w:rFonts w:eastAsia="Aptos"/>
          <w:sz w:val="24"/>
          <w:szCs w:val="24"/>
          <w:lang w:eastAsia="pt-BR"/>
        </w:rPr>
      </w:pPr>
      <w:r w:rsidRPr="00F84F95">
        <w:rPr>
          <w:rFonts w:eastAsia="Arial"/>
          <w:sz w:val="24"/>
          <w:szCs w:val="24"/>
          <w:lang w:eastAsia="pt-BR"/>
        </w:rPr>
        <w:t>IV -</w:t>
      </w:r>
      <w:r w:rsidRPr="00F84F95">
        <w:rPr>
          <w:rFonts w:eastAsia="Aptos"/>
          <w:sz w:val="24"/>
          <w:szCs w:val="24"/>
          <w:lang w:eastAsia="pt-BR"/>
        </w:rPr>
        <w:t xml:space="preserve"> </w:t>
      </w:r>
      <w:proofErr w:type="gramStart"/>
      <w:r w:rsidRPr="00F84F95">
        <w:rPr>
          <w:rFonts w:eastAsia="Aptos"/>
          <w:sz w:val="24"/>
          <w:szCs w:val="24"/>
          <w:lang w:eastAsia="pt-BR"/>
        </w:rPr>
        <w:t>rescindido</w:t>
      </w:r>
      <w:proofErr w:type="gramEnd"/>
      <w:r w:rsidRPr="00F84F95">
        <w:rPr>
          <w:rFonts w:eastAsia="Aptos"/>
          <w:sz w:val="24"/>
          <w:szCs w:val="24"/>
          <w:lang w:eastAsia="pt-BR"/>
        </w:rPr>
        <w:t>, por decisão unilateral de qualquer dos partícipes, independentemente de autorização judicial, mediante prévia notificação por escrito ao outro partícipe, nas seguintes hipóteses:</w:t>
      </w:r>
    </w:p>
    <w:p w14:paraId="363FF0EE"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a) descumprimento injustificado de cláusula deste instrumento;</w:t>
      </w:r>
    </w:p>
    <w:p w14:paraId="4E0AA683"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b) irregularidade ou inexecução injustificada, ainda que parcial, do objeto, resultados ou metas pactuadas;</w:t>
      </w:r>
    </w:p>
    <w:p w14:paraId="09A2D772"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c) violação da legislação aplicável;</w:t>
      </w:r>
    </w:p>
    <w:p w14:paraId="472FDA73"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d) cometimento de falhas reiteradas na execução;</w:t>
      </w:r>
    </w:p>
    <w:p w14:paraId="11DC43CC"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e) má administração de recursos públicos;</w:t>
      </w:r>
    </w:p>
    <w:p w14:paraId="4A21B0AA"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f) constatação de falsidade ou fraude nas informações ou documentos apresentados;</w:t>
      </w:r>
    </w:p>
    <w:p w14:paraId="09835582" w14:textId="77777777" w:rsidR="00F84F95" w:rsidRPr="00F84F95" w:rsidRDefault="00F84F95" w:rsidP="00EB0903">
      <w:pPr>
        <w:spacing w:after="0" w:line="276" w:lineRule="auto"/>
        <w:ind w:left="100"/>
        <w:jc w:val="both"/>
        <w:rPr>
          <w:rFonts w:eastAsia="Arial"/>
          <w:sz w:val="24"/>
          <w:szCs w:val="24"/>
          <w:lang w:eastAsia="pt-BR"/>
        </w:rPr>
      </w:pPr>
      <w:r w:rsidRPr="00F84F95">
        <w:rPr>
          <w:rFonts w:eastAsia="Arial"/>
          <w:sz w:val="24"/>
          <w:szCs w:val="24"/>
          <w:lang w:eastAsia="pt-BR"/>
        </w:rPr>
        <w:t>g) não atendimento às recomendações ou determinações decorrentes da fiscalização;</w:t>
      </w:r>
    </w:p>
    <w:p w14:paraId="0E741759"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h) outras hipóteses expressamente previstas na legislação aplicável.</w:t>
      </w:r>
    </w:p>
    <w:p w14:paraId="16B070E0"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lastRenderedPageBreak/>
        <w:t xml:space="preserve">10.2 Os casos de rescisão unilateral serão formalmente motivados nos autos do processo administrativo, assegurado o contraditório e a ampla defesa. O prazo de defesa será de 10 (dez) dias da abertura de vista do processo. </w:t>
      </w:r>
    </w:p>
    <w:p w14:paraId="09E6F60E"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10.3 Na hipótese de irregularidade na execução do objeto que enseje </w:t>
      </w:r>
      <w:proofErr w:type="spellStart"/>
      <w:r w:rsidRPr="00F84F95">
        <w:rPr>
          <w:rFonts w:eastAsia="Arial"/>
          <w:sz w:val="24"/>
          <w:szCs w:val="24"/>
          <w:lang w:eastAsia="pt-BR"/>
        </w:rPr>
        <w:t>dano</w:t>
      </w:r>
      <w:proofErr w:type="spellEnd"/>
      <w:r w:rsidRPr="00F84F95">
        <w:rPr>
          <w:rFonts w:eastAsia="Arial"/>
          <w:sz w:val="24"/>
          <w:szCs w:val="24"/>
          <w:lang w:eastAsia="pt-BR"/>
        </w:rPr>
        <w:t xml:space="preserve"> ao erário, deverá ser instaurada Tomada de Contas Especial caso os valores relacionados à irregularidade não sejam devolvidos no prazo estabelecido pela Administração Pública.</w:t>
      </w:r>
    </w:p>
    <w:p w14:paraId="7C7A1ECB" w14:textId="77777777"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 xml:space="preserve">10.4 Outras situações relativas à extinção deste Termo não previstas na legislação aplicável ou neste instrumento poderão ser negociadas entre as partes ou, se for o caso, no Termo de Distrato.  </w:t>
      </w:r>
    </w:p>
    <w:p w14:paraId="73FC5C49"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 xml:space="preserve">11. MONITORAMENTO E CONTROLE DE RESULTADOS </w:t>
      </w:r>
    </w:p>
    <w:p w14:paraId="336D572E" w14:textId="7D6105B6" w:rsidR="00F84F95" w:rsidRPr="00F84F95" w:rsidRDefault="00F84F95" w:rsidP="00F84F95">
      <w:pPr>
        <w:spacing w:after="100" w:line="276" w:lineRule="auto"/>
        <w:ind w:left="100"/>
        <w:jc w:val="both"/>
        <w:rPr>
          <w:rFonts w:eastAsia="Arial"/>
          <w:color w:val="FF0000"/>
          <w:sz w:val="24"/>
          <w:szCs w:val="24"/>
          <w:lang w:eastAsia="pt-BR"/>
        </w:rPr>
      </w:pPr>
      <w:r w:rsidRPr="00F84F95">
        <w:rPr>
          <w:rFonts w:eastAsia="Arial"/>
          <w:sz w:val="24"/>
          <w:szCs w:val="24"/>
          <w:lang w:eastAsia="pt-BR"/>
        </w:rPr>
        <w:t xml:space="preserve">11.1 </w:t>
      </w:r>
      <w:r w:rsidR="00F5135E">
        <w:rPr>
          <w:rFonts w:eastAsia="Arial"/>
          <w:sz w:val="24"/>
          <w:szCs w:val="24"/>
          <w:lang w:eastAsia="pt-BR"/>
        </w:rPr>
        <w:t xml:space="preserve">A Comissão Técnica e a Secretaria de Cultura </w:t>
      </w:r>
      <w:r w:rsidR="00A320AF">
        <w:rPr>
          <w:rFonts w:eastAsia="Arial"/>
          <w:sz w:val="24"/>
          <w:szCs w:val="24"/>
          <w:lang w:eastAsia="pt-BR"/>
        </w:rPr>
        <w:t>realizarão</w:t>
      </w:r>
      <w:r w:rsidR="00A0080A">
        <w:rPr>
          <w:rFonts w:eastAsia="Arial"/>
          <w:sz w:val="24"/>
          <w:szCs w:val="24"/>
          <w:lang w:eastAsia="pt-BR"/>
        </w:rPr>
        <w:t xml:space="preserve"> o monitoramento das ações pa</w:t>
      </w:r>
      <w:r w:rsidR="00A320AF">
        <w:rPr>
          <w:rFonts w:eastAsia="Arial"/>
          <w:sz w:val="24"/>
          <w:szCs w:val="24"/>
          <w:lang w:eastAsia="pt-BR"/>
        </w:rPr>
        <w:t>ra</w:t>
      </w:r>
      <w:r w:rsidR="00A0080A">
        <w:rPr>
          <w:rFonts w:eastAsia="Arial"/>
          <w:sz w:val="24"/>
          <w:szCs w:val="24"/>
          <w:lang w:eastAsia="pt-BR"/>
        </w:rPr>
        <w:t xml:space="preserve"> quaisquer </w:t>
      </w:r>
      <w:r w:rsidR="00A320AF">
        <w:rPr>
          <w:rFonts w:eastAsia="Arial"/>
          <w:sz w:val="24"/>
          <w:szCs w:val="24"/>
          <w:lang w:eastAsia="pt-BR"/>
        </w:rPr>
        <w:t xml:space="preserve">procedimentos e medidas serem tomados caso haja necessidade. </w:t>
      </w:r>
    </w:p>
    <w:p w14:paraId="04B64087"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 xml:space="preserve">12. VIGÊNCIA </w:t>
      </w:r>
    </w:p>
    <w:p w14:paraId="5ED63316" w14:textId="1A65A4E7" w:rsidR="00F84F95" w:rsidRPr="00F84F95" w:rsidRDefault="00F84F95" w:rsidP="00F84F95">
      <w:pPr>
        <w:spacing w:after="100" w:line="276" w:lineRule="auto"/>
        <w:ind w:left="100"/>
        <w:jc w:val="both"/>
        <w:rPr>
          <w:rFonts w:eastAsia="Arial"/>
          <w:color w:val="FF0000"/>
          <w:sz w:val="24"/>
          <w:szCs w:val="24"/>
          <w:lang w:eastAsia="pt-BR"/>
        </w:rPr>
      </w:pPr>
      <w:r w:rsidRPr="00F84F95">
        <w:rPr>
          <w:rFonts w:eastAsia="Arial"/>
          <w:sz w:val="24"/>
          <w:szCs w:val="24"/>
          <w:lang w:eastAsia="pt-BR"/>
        </w:rPr>
        <w:t>12.1 A vigência deste instrumento terá início na data de assinatura das partes, com duração de</w:t>
      </w:r>
      <w:r w:rsidR="001B57C0">
        <w:rPr>
          <w:rFonts w:eastAsia="Arial"/>
          <w:sz w:val="24"/>
          <w:szCs w:val="24"/>
          <w:lang w:eastAsia="pt-BR"/>
        </w:rPr>
        <w:t xml:space="preserve"> </w:t>
      </w:r>
      <w:r w:rsidR="00C83D31">
        <w:rPr>
          <w:rFonts w:eastAsia="Arial"/>
          <w:sz w:val="24"/>
          <w:szCs w:val="24"/>
          <w:lang w:eastAsia="pt-BR"/>
        </w:rPr>
        <w:t>04 meses</w:t>
      </w:r>
      <w:r w:rsidRPr="00F84F95">
        <w:rPr>
          <w:rFonts w:eastAsia="Arial"/>
          <w:sz w:val="24"/>
          <w:szCs w:val="24"/>
          <w:lang w:eastAsia="pt-BR"/>
        </w:rPr>
        <w:t>, podendo ser prorrogado por</w:t>
      </w:r>
      <w:r w:rsidR="00C83D31">
        <w:rPr>
          <w:rFonts w:eastAsia="Arial"/>
          <w:sz w:val="24"/>
          <w:szCs w:val="24"/>
          <w:lang w:eastAsia="pt-BR"/>
        </w:rPr>
        <w:t xml:space="preserve"> igual.</w:t>
      </w:r>
    </w:p>
    <w:p w14:paraId="5A72CE19"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 xml:space="preserve">13. PUBLICAÇÃO </w:t>
      </w:r>
    </w:p>
    <w:p w14:paraId="01597FA2" w14:textId="521B372F" w:rsidR="00F84F95" w:rsidRPr="00F84F95" w:rsidRDefault="00F84F95" w:rsidP="00F84F95">
      <w:pPr>
        <w:spacing w:after="100" w:line="276" w:lineRule="auto"/>
        <w:ind w:left="100"/>
        <w:jc w:val="both"/>
        <w:rPr>
          <w:rFonts w:eastAsia="Arial"/>
          <w:color w:val="FF0000"/>
          <w:sz w:val="24"/>
          <w:szCs w:val="24"/>
          <w:lang w:eastAsia="pt-BR"/>
        </w:rPr>
      </w:pPr>
      <w:r w:rsidRPr="00F84F95">
        <w:rPr>
          <w:rFonts w:eastAsia="Arial"/>
          <w:sz w:val="24"/>
          <w:szCs w:val="24"/>
          <w:lang w:eastAsia="pt-BR"/>
        </w:rPr>
        <w:t>13.1 O Extrato do Termo de Execução Cultural será publicado</w:t>
      </w:r>
      <w:r w:rsidR="00B1189C">
        <w:rPr>
          <w:rFonts w:eastAsia="Arial"/>
          <w:sz w:val="24"/>
          <w:szCs w:val="24"/>
          <w:lang w:eastAsia="pt-BR"/>
        </w:rPr>
        <w:t xml:space="preserve"> no Diário Oficial do Município </w:t>
      </w:r>
      <w:r w:rsidRPr="00F84F95">
        <w:rPr>
          <w:rFonts w:eastAsia="Arial"/>
          <w:sz w:val="24"/>
          <w:szCs w:val="24"/>
          <w:lang w:eastAsia="pt-BR"/>
        </w:rPr>
        <w:t xml:space="preserve"> </w:t>
      </w:r>
    </w:p>
    <w:p w14:paraId="61822891" w14:textId="77777777" w:rsidR="00F84F95" w:rsidRPr="00F84F95" w:rsidRDefault="00F84F95" w:rsidP="00F84F95">
      <w:pPr>
        <w:spacing w:after="100" w:line="276" w:lineRule="auto"/>
        <w:ind w:left="100"/>
        <w:jc w:val="both"/>
        <w:rPr>
          <w:rFonts w:eastAsia="Arial"/>
          <w:b/>
          <w:bCs/>
          <w:sz w:val="24"/>
          <w:szCs w:val="24"/>
          <w:lang w:eastAsia="pt-BR"/>
        </w:rPr>
      </w:pPr>
      <w:r w:rsidRPr="00F84F95">
        <w:rPr>
          <w:rFonts w:eastAsia="Arial"/>
          <w:b/>
          <w:bCs/>
          <w:sz w:val="24"/>
          <w:szCs w:val="24"/>
          <w:lang w:eastAsia="pt-BR"/>
        </w:rPr>
        <w:t xml:space="preserve">14. FORO </w:t>
      </w:r>
    </w:p>
    <w:p w14:paraId="595B1DCA" w14:textId="50823FA3" w:rsidR="00F84F95" w:rsidRPr="00F84F95" w:rsidRDefault="00F84F95" w:rsidP="00F84F95">
      <w:pPr>
        <w:spacing w:after="100" w:line="276" w:lineRule="auto"/>
        <w:ind w:left="100"/>
        <w:jc w:val="both"/>
        <w:rPr>
          <w:rFonts w:eastAsia="Arial"/>
          <w:sz w:val="24"/>
          <w:szCs w:val="24"/>
          <w:lang w:eastAsia="pt-BR"/>
        </w:rPr>
      </w:pPr>
      <w:r w:rsidRPr="00F84F95">
        <w:rPr>
          <w:rFonts w:eastAsia="Arial"/>
          <w:sz w:val="24"/>
          <w:szCs w:val="24"/>
          <w:lang w:eastAsia="pt-BR"/>
        </w:rPr>
        <w:t>14.1 Fica eleito o Foro de</w:t>
      </w:r>
      <w:r w:rsidR="00B1189C">
        <w:rPr>
          <w:rFonts w:eastAsia="Arial"/>
          <w:sz w:val="24"/>
          <w:szCs w:val="24"/>
          <w:lang w:eastAsia="pt-BR"/>
        </w:rPr>
        <w:t xml:space="preserve"> Piancó</w:t>
      </w:r>
      <w:r w:rsidRPr="00F84F95">
        <w:rPr>
          <w:rFonts w:eastAsia="Arial"/>
          <w:color w:val="FF0000"/>
          <w:sz w:val="24"/>
          <w:szCs w:val="24"/>
          <w:lang w:eastAsia="pt-BR"/>
        </w:rPr>
        <w:t xml:space="preserve"> </w:t>
      </w:r>
      <w:r w:rsidRPr="00F84F95">
        <w:rPr>
          <w:rFonts w:eastAsia="Arial"/>
          <w:sz w:val="24"/>
          <w:szCs w:val="24"/>
          <w:lang w:eastAsia="pt-BR"/>
        </w:rPr>
        <w:t>para dirimir quaisquer dúvidas relativas ao presente Termo de Execução Cultural.</w:t>
      </w:r>
    </w:p>
    <w:p w14:paraId="1792AEE5" w14:textId="77777777" w:rsidR="00F84F95" w:rsidRPr="00F84F95" w:rsidRDefault="00F84F95" w:rsidP="00F84F95">
      <w:pPr>
        <w:spacing w:after="100" w:line="276" w:lineRule="auto"/>
        <w:ind w:left="100"/>
        <w:jc w:val="both"/>
        <w:rPr>
          <w:rFonts w:eastAsia="Arial"/>
          <w:sz w:val="24"/>
          <w:szCs w:val="24"/>
          <w:lang w:eastAsia="pt-BR"/>
        </w:rPr>
      </w:pPr>
    </w:p>
    <w:p w14:paraId="714C38DE" w14:textId="0DA3E780" w:rsidR="00F84F95" w:rsidRPr="00F84F95" w:rsidRDefault="00B1189C" w:rsidP="00EB0903">
      <w:pPr>
        <w:spacing w:after="100" w:line="276" w:lineRule="auto"/>
        <w:ind w:left="100"/>
        <w:jc w:val="right"/>
        <w:rPr>
          <w:rFonts w:eastAsia="Arial"/>
          <w:sz w:val="24"/>
          <w:szCs w:val="24"/>
          <w:lang w:eastAsia="pt-BR"/>
        </w:rPr>
      </w:pPr>
      <w:r>
        <w:rPr>
          <w:rFonts w:eastAsia="Arial"/>
          <w:sz w:val="24"/>
          <w:szCs w:val="24"/>
          <w:lang w:eastAsia="pt-BR"/>
        </w:rPr>
        <w:t>Emas-PB, _____ de maio de 2026</w:t>
      </w:r>
    </w:p>
    <w:p w14:paraId="44A0CD38" w14:textId="77777777" w:rsidR="00A92E05" w:rsidRPr="00F84F95" w:rsidRDefault="00A92E05" w:rsidP="00F84F95">
      <w:pPr>
        <w:spacing w:after="100" w:line="276" w:lineRule="auto"/>
        <w:jc w:val="center"/>
        <w:rPr>
          <w:rFonts w:eastAsia="Arial"/>
          <w:sz w:val="24"/>
          <w:szCs w:val="24"/>
          <w:lang w:eastAsia="pt-BR"/>
        </w:rPr>
      </w:pPr>
    </w:p>
    <w:p w14:paraId="6B201217" w14:textId="77777777" w:rsidR="00F84F95" w:rsidRPr="00F84F95" w:rsidRDefault="00F84F95" w:rsidP="00F84F95">
      <w:pPr>
        <w:spacing w:after="0" w:line="276" w:lineRule="auto"/>
        <w:rPr>
          <w:rFonts w:ascii="Arial" w:eastAsia="Arial" w:hAnsi="Arial" w:cs="Arial"/>
          <w:lang w:eastAsia="pt-BR"/>
        </w:rPr>
      </w:pPr>
    </w:p>
    <w:p w14:paraId="0DF8BD87" w14:textId="77777777" w:rsidR="00EB47F0" w:rsidRDefault="00EB47F0" w:rsidP="00EB47F0">
      <w:pPr>
        <w:spacing w:after="0" w:line="240" w:lineRule="auto"/>
        <w:jc w:val="center"/>
        <w:rPr>
          <w:color w:val="000000"/>
          <w:sz w:val="24"/>
          <w:szCs w:val="24"/>
        </w:rPr>
      </w:pPr>
      <w:r>
        <w:rPr>
          <w:rFonts w:eastAsia="Arial"/>
          <w:sz w:val="24"/>
          <w:szCs w:val="24"/>
          <w:lang w:eastAsia="pt-BR"/>
        </w:rPr>
        <w:t>_______________________________</w:t>
      </w:r>
    </w:p>
    <w:p w14:paraId="1A8B8B28" w14:textId="77777777" w:rsidR="00EB47F0" w:rsidRDefault="00EB47F0" w:rsidP="00EB47F0">
      <w:pPr>
        <w:spacing w:after="0" w:line="240" w:lineRule="auto"/>
        <w:jc w:val="center"/>
        <w:rPr>
          <w:color w:val="000000"/>
          <w:sz w:val="24"/>
          <w:szCs w:val="24"/>
        </w:rPr>
      </w:pPr>
      <w:r>
        <w:rPr>
          <w:color w:val="000000"/>
          <w:sz w:val="24"/>
          <w:szCs w:val="24"/>
        </w:rPr>
        <w:t>MARIVALDA GOMES EVANGELISTA</w:t>
      </w:r>
    </w:p>
    <w:p w14:paraId="76665053" w14:textId="77777777" w:rsidR="00EB47F0" w:rsidRDefault="00EB47F0" w:rsidP="00EB47F0">
      <w:pPr>
        <w:spacing w:after="0" w:line="240" w:lineRule="auto"/>
        <w:jc w:val="center"/>
        <w:rPr>
          <w:color w:val="000000"/>
          <w:sz w:val="24"/>
          <w:szCs w:val="24"/>
        </w:rPr>
      </w:pPr>
      <w:r>
        <w:rPr>
          <w:color w:val="000000"/>
          <w:sz w:val="24"/>
          <w:szCs w:val="24"/>
        </w:rPr>
        <w:t>Secretária de Cultura de Emas</w:t>
      </w:r>
    </w:p>
    <w:p w14:paraId="3A5C3FBF" w14:textId="77777777" w:rsidR="00E64803" w:rsidRDefault="00E64803" w:rsidP="00CD3697">
      <w:pPr>
        <w:spacing w:after="0"/>
        <w:jc w:val="center"/>
        <w:rPr>
          <w:b/>
          <w:bCs/>
          <w:color w:val="000000"/>
          <w:sz w:val="24"/>
          <w:szCs w:val="24"/>
        </w:rPr>
      </w:pPr>
    </w:p>
    <w:p w14:paraId="26AA12C0" w14:textId="77777777" w:rsidR="00104043" w:rsidRDefault="00104043" w:rsidP="00BD4350">
      <w:pPr>
        <w:rPr>
          <w:color w:val="000000"/>
          <w:sz w:val="24"/>
          <w:szCs w:val="24"/>
        </w:rPr>
      </w:pPr>
    </w:p>
    <w:p w14:paraId="37EE39E4" w14:textId="3F86F0A0" w:rsidR="00A92E05" w:rsidRDefault="00A92E05" w:rsidP="00607B62">
      <w:pPr>
        <w:spacing w:after="0" w:line="240" w:lineRule="auto"/>
        <w:jc w:val="center"/>
        <w:rPr>
          <w:color w:val="000000"/>
          <w:sz w:val="24"/>
          <w:szCs w:val="24"/>
        </w:rPr>
      </w:pPr>
      <w:r>
        <w:rPr>
          <w:rFonts w:eastAsia="Arial"/>
          <w:sz w:val="24"/>
          <w:szCs w:val="24"/>
          <w:lang w:eastAsia="pt-BR"/>
        </w:rPr>
        <w:t>__________________________</w:t>
      </w:r>
      <w:r>
        <w:rPr>
          <w:rFonts w:eastAsia="Arial"/>
          <w:sz w:val="24"/>
          <w:szCs w:val="24"/>
          <w:lang w:eastAsia="pt-BR"/>
        </w:rPr>
        <w:t>_____</w:t>
      </w:r>
    </w:p>
    <w:p w14:paraId="7C80E7A0" w14:textId="58491546" w:rsidR="00104043" w:rsidRDefault="00EB47F0" w:rsidP="00607B62">
      <w:pPr>
        <w:spacing w:after="0" w:line="240" w:lineRule="auto"/>
        <w:jc w:val="center"/>
        <w:rPr>
          <w:color w:val="000000"/>
          <w:sz w:val="24"/>
          <w:szCs w:val="24"/>
        </w:rPr>
      </w:pPr>
      <w:r w:rsidRPr="00EB47F0">
        <w:rPr>
          <w:rFonts w:eastAsia="Arial"/>
          <w:color w:val="EE0000"/>
          <w:sz w:val="24"/>
          <w:szCs w:val="24"/>
          <w:lang w:eastAsia="pt-BR"/>
        </w:rPr>
        <w:t>[NOME DO AGENTE CULTURAL]</w:t>
      </w:r>
    </w:p>
    <w:p w14:paraId="349A9D90" w14:textId="67B37D93" w:rsidR="00607B62" w:rsidRDefault="00EB47F0" w:rsidP="00607B62">
      <w:pPr>
        <w:spacing w:after="0" w:line="240" w:lineRule="auto"/>
        <w:jc w:val="center"/>
        <w:rPr>
          <w:color w:val="000000"/>
          <w:sz w:val="24"/>
          <w:szCs w:val="24"/>
        </w:rPr>
      </w:pPr>
      <w:r w:rsidRPr="00F84F95">
        <w:rPr>
          <w:rFonts w:eastAsia="Arial"/>
          <w:sz w:val="24"/>
          <w:szCs w:val="24"/>
          <w:lang w:eastAsia="pt-BR"/>
        </w:rPr>
        <w:t>Agente Cultural</w:t>
      </w:r>
    </w:p>
    <w:sectPr w:rsidR="00607B62" w:rsidSect="002C6EE7">
      <w:headerReference w:type="default" r:id="rId11"/>
      <w:footerReference w:type="default" r:id="rId12"/>
      <w:pgSz w:w="11906" w:h="16838"/>
      <w:pgMar w:top="1170" w:right="1274" w:bottom="818" w:left="1440" w:header="850" w:footer="56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3C095" w14:textId="77777777" w:rsidR="00FA0A42" w:rsidRDefault="00FA0A42">
      <w:pPr>
        <w:spacing w:after="0" w:line="240" w:lineRule="auto"/>
      </w:pPr>
      <w:r>
        <w:separator/>
      </w:r>
    </w:p>
  </w:endnote>
  <w:endnote w:type="continuationSeparator" w:id="0">
    <w:p w14:paraId="2403CB41" w14:textId="77777777" w:rsidR="00FA0A42" w:rsidRDefault="00FA0A42">
      <w:pPr>
        <w:spacing w:after="0" w:line="240" w:lineRule="auto"/>
      </w:pPr>
      <w:r>
        <w:continuationSeparator/>
      </w:r>
    </w:p>
  </w:endnote>
  <w:endnote w:type="continuationNotice" w:id="1">
    <w:p w14:paraId="52BF3288" w14:textId="77777777" w:rsidR="00FA0A42" w:rsidRDefault="00FA0A4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7D23C20-654C-4A2A-BCD0-7454D7822801}"/>
    <w:embedBold r:id="rId2" w:fontKey="{042993F7-8BB9-4800-98D8-A9CE499C5E0F}"/>
    <w:embedItalic r:id="rId3" w:fontKey="{AC30F3E4-DF24-424C-B339-149908A9DA87}"/>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embedRegular r:id="rId4" w:fontKey="{978453BA-ADD4-4A4E-A111-EA4A33E258D5}"/>
    <w:embedItalic r:id="rId5" w:fontKey="{959CC579-7F47-4243-9985-4823D27E0D5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6" w:fontKey="{307E099C-80A6-4E88-90A7-E8F7E4D72B4C}"/>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7" w:fontKey="{6BA8BCA4-0CC2-4C8A-B742-0CCEDE51BB89}"/>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sz w:val="16"/>
        <w:szCs w:val="16"/>
      </w:rPr>
      <w:id w:val="997156905"/>
      <w:docPartObj>
        <w:docPartGallery w:val="Page Numbers (Bottom of Page)"/>
        <w:docPartUnique/>
      </w:docPartObj>
    </w:sdtPr>
    <w:sdtEndPr>
      <w:rPr>
        <w:color w:val="404040" w:themeColor="text1" w:themeTint="BF"/>
      </w:rPr>
    </w:sdtEndPr>
    <w:sdtContent>
      <w:sdt>
        <w:sdtPr>
          <w:rPr>
            <w:sz w:val="16"/>
            <w:szCs w:val="16"/>
          </w:rPr>
          <w:id w:val="-1769616900"/>
          <w:docPartObj>
            <w:docPartGallery w:val="Page Numbers (Top of Page)"/>
            <w:docPartUnique/>
          </w:docPartObj>
        </w:sdtPr>
        <w:sdtEndPr>
          <w:rPr>
            <w:color w:val="404040" w:themeColor="text1" w:themeTint="BF"/>
          </w:rPr>
        </w:sdtEndPr>
        <w:sdtContent>
          <w:p w14:paraId="0C53169E" w14:textId="210025D4" w:rsidR="002D0C71" w:rsidRPr="004443A4" w:rsidRDefault="002D0C71">
            <w:pPr>
              <w:pStyle w:val="Rodap"/>
              <w:jc w:val="right"/>
              <w:rPr>
                <w:color w:val="404040" w:themeColor="text1" w:themeTint="BF"/>
                <w:sz w:val="16"/>
                <w:szCs w:val="16"/>
              </w:rPr>
            </w:pPr>
            <w:r w:rsidRPr="004443A4">
              <w:rPr>
                <w:color w:val="404040" w:themeColor="text1" w:themeTint="BF"/>
                <w:sz w:val="16"/>
                <w:szCs w:val="16"/>
              </w:rPr>
              <w:t xml:space="preserve">Página </w:t>
            </w:r>
            <w:r w:rsidRPr="004443A4">
              <w:rPr>
                <w:b/>
                <w:bCs/>
                <w:color w:val="404040" w:themeColor="text1" w:themeTint="BF"/>
                <w:sz w:val="16"/>
                <w:szCs w:val="16"/>
              </w:rPr>
              <w:fldChar w:fldCharType="begin"/>
            </w:r>
            <w:r w:rsidRPr="004443A4">
              <w:rPr>
                <w:b/>
                <w:bCs/>
                <w:color w:val="404040" w:themeColor="text1" w:themeTint="BF"/>
                <w:sz w:val="16"/>
                <w:szCs w:val="16"/>
              </w:rPr>
              <w:instrText>PAGE</w:instrText>
            </w:r>
            <w:r w:rsidRPr="004443A4">
              <w:rPr>
                <w:b/>
                <w:bCs/>
                <w:color w:val="404040" w:themeColor="text1" w:themeTint="BF"/>
                <w:sz w:val="16"/>
                <w:szCs w:val="16"/>
              </w:rPr>
              <w:fldChar w:fldCharType="separate"/>
            </w:r>
            <w:r w:rsidRPr="004443A4">
              <w:rPr>
                <w:b/>
                <w:bCs/>
                <w:color w:val="404040" w:themeColor="text1" w:themeTint="BF"/>
                <w:sz w:val="16"/>
                <w:szCs w:val="16"/>
              </w:rPr>
              <w:t>2</w:t>
            </w:r>
            <w:r w:rsidRPr="004443A4">
              <w:rPr>
                <w:b/>
                <w:bCs/>
                <w:color w:val="404040" w:themeColor="text1" w:themeTint="BF"/>
                <w:sz w:val="16"/>
                <w:szCs w:val="16"/>
              </w:rPr>
              <w:fldChar w:fldCharType="end"/>
            </w:r>
            <w:r w:rsidRPr="004443A4">
              <w:rPr>
                <w:color w:val="404040" w:themeColor="text1" w:themeTint="BF"/>
                <w:sz w:val="16"/>
                <w:szCs w:val="16"/>
              </w:rPr>
              <w:t xml:space="preserve"> de </w:t>
            </w:r>
            <w:r w:rsidRPr="004443A4">
              <w:rPr>
                <w:b/>
                <w:bCs/>
                <w:color w:val="404040" w:themeColor="text1" w:themeTint="BF"/>
                <w:sz w:val="16"/>
                <w:szCs w:val="16"/>
              </w:rPr>
              <w:fldChar w:fldCharType="begin"/>
            </w:r>
            <w:r w:rsidRPr="004443A4">
              <w:rPr>
                <w:b/>
                <w:bCs/>
                <w:color w:val="404040" w:themeColor="text1" w:themeTint="BF"/>
                <w:sz w:val="16"/>
                <w:szCs w:val="16"/>
              </w:rPr>
              <w:instrText>NUMPAGES</w:instrText>
            </w:r>
            <w:r w:rsidRPr="004443A4">
              <w:rPr>
                <w:b/>
                <w:bCs/>
                <w:color w:val="404040" w:themeColor="text1" w:themeTint="BF"/>
                <w:sz w:val="16"/>
                <w:szCs w:val="16"/>
              </w:rPr>
              <w:fldChar w:fldCharType="separate"/>
            </w:r>
            <w:r w:rsidRPr="004443A4">
              <w:rPr>
                <w:b/>
                <w:bCs/>
                <w:color w:val="404040" w:themeColor="text1" w:themeTint="BF"/>
                <w:sz w:val="16"/>
                <w:szCs w:val="16"/>
              </w:rPr>
              <w:t>2</w:t>
            </w:r>
            <w:r w:rsidRPr="004443A4">
              <w:rPr>
                <w:b/>
                <w:bCs/>
                <w:color w:val="404040" w:themeColor="text1" w:themeTint="BF"/>
                <w:sz w:val="16"/>
                <w:szCs w:val="16"/>
              </w:rPr>
              <w:fldChar w:fldCharType="end"/>
            </w:r>
          </w:p>
        </w:sdtContent>
      </w:sdt>
    </w:sdtContent>
  </w:sdt>
  <w:p w14:paraId="2182F353" w14:textId="38677FDC" w:rsidR="004443A4" w:rsidRPr="002C6EE7" w:rsidRDefault="00850A70" w:rsidP="004443A4">
    <w:pPr>
      <w:pStyle w:val="Rodap"/>
      <w:pBdr>
        <w:top w:val="single" w:sz="4" w:space="0" w:color="auto"/>
      </w:pBdr>
      <w:jc w:val="center"/>
      <w:rPr>
        <w:rFonts w:asciiTheme="minorHAnsi" w:eastAsiaTheme="majorEastAsia" w:hAnsiTheme="minorHAnsi" w:cstheme="minorHAnsi"/>
        <w:bCs/>
        <w:color w:val="404040" w:themeColor="text1" w:themeTint="BF"/>
        <w:sz w:val="16"/>
        <w:szCs w:val="16"/>
      </w:rPr>
    </w:pPr>
    <w:r w:rsidRPr="00CD148C">
      <w:rPr>
        <w:rFonts w:asciiTheme="minorHAnsi" w:hAnsiTheme="minorHAnsi" w:cstheme="minorHAnsi"/>
        <w:bCs/>
        <w:color w:val="595959" w:themeColor="text1" w:themeTint="A6"/>
        <w:sz w:val="18"/>
        <w:szCs w:val="18"/>
      </w:rPr>
      <w:t>Paço Municipal Deputado Antônio Leite Montenegro</w:t>
    </w:r>
  </w:p>
  <w:p w14:paraId="37BD69E2" w14:textId="0FB1CC10" w:rsidR="004443A4" w:rsidRPr="002C6EE7" w:rsidRDefault="00267508" w:rsidP="004443A4">
    <w:pPr>
      <w:pStyle w:val="Rodap"/>
      <w:pBdr>
        <w:top w:val="single" w:sz="4" w:space="0" w:color="auto"/>
      </w:pBdr>
      <w:jc w:val="center"/>
      <w:rPr>
        <w:rFonts w:asciiTheme="minorHAnsi" w:eastAsiaTheme="majorEastAsia" w:hAnsiTheme="minorHAnsi" w:cstheme="minorHAnsi"/>
        <w:bCs/>
        <w:color w:val="404040" w:themeColor="text1" w:themeTint="BF"/>
        <w:sz w:val="16"/>
        <w:szCs w:val="16"/>
      </w:rPr>
    </w:pPr>
    <w:r w:rsidRPr="00CD148C">
      <w:rPr>
        <w:rFonts w:asciiTheme="minorHAnsi" w:eastAsiaTheme="majorEastAsia" w:hAnsiTheme="minorHAnsi" w:cstheme="minorHAnsi"/>
        <w:bCs/>
        <w:color w:val="595959" w:themeColor="text1" w:themeTint="A6"/>
        <w:sz w:val="18"/>
        <w:szCs w:val="18"/>
      </w:rPr>
      <w:t>Av. Vice-Prefeito João Kennedy Gomes Batista, 02 Centro – Emas-PB | CEP: 58763-000 | CNPJ Nº 08.944.084/0001-23</w:t>
    </w:r>
  </w:p>
  <w:p w14:paraId="59B61E62" w14:textId="78730C56" w:rsidR="002F0C4B" w:rsidRPr="002C6EE7" w:rsidRDefault="005727C4" w:rsidP="004443A4">
    <w:pPr>
      <w:pStyle w:val="Rodap"/>
      <w:jc w:val="center"/>
      <w:rPr>
        <w:color w:val="404040" w:themeColor="text1" w:themeTint="BF"/>
        <w:sz w:val="20"/>
        <w:szCs w:val="20"/>
      </w:rPr>
    </w:pPr>
    <w:r w:rsidRPr="00CD148C">
      <w:rPr>
        <w:rFonts w:asciiTheme="minorHAnsi" w:eastAsiaTheme="majorEastAsia" w:hAnsiTheme="minorHAnsi" w:cstheme="minorHAnsi"/>
        <w:bCs/>
        <w:color w:val="595959" w:themeColor="text1" w:themeTint="A6"/>
        <w:sz w:val="18"/>
        <w:szCs w:val="18"/>
      </w:rPr>
      <w:t>E</w:t>
    </w:r>
    <w:r>
      <w:rPr>
        <w:rFonts w:asciiTheme="minorHAnsi" w:eastAsiaTheme="majorEastAsia" w:hAnsiTheme="minorHAnsi" w:cstheme="minorHAnsi"/>
        <w:bCs/>
        <w:color w:val="595959" w:themeColor="text1" w:themeTint="A6"/>
        <w:sz w:val="18"/>
        <w:szCs w:val="18"/>
      </w:rPr>
      <w:t>-</w:t>
    </w:r>
    <w:r w:rsidRPr="00CD148C">
      <w:rPr>
        <w:rFonts w:asciiTheme="minorHAnsi" w:eastAsiaTheme="majorEastAsia" w:hAnsiTheme="minorHAnsi" w:cstheme="minorHAnsi"/>
        <w:bCs/>
        <w:color w:val="595959" w:themeColor="text1" w:themeTint="A6"/>
        <w:sz w:val="18"/>
        <w:szCs w:val="18"/>
      </w:rPr>
      <w:t xml:space="preserve">mail: </w:t>
    </w:r>
    <w:r>
      <w:rPr>
        <w:rFonts w:asciiTheme="minorHAnsi" w:eastAsiaTheme="majorEastAsia" w:hAnsiTheme="minorHAnsi" w:cstheme="minorHAnsi"/>
        <w:bCs/>
        <w:color w:val="595959" w:themeColor="text1" w:themeTint="A6"/>
        <w:sz w:val="18"/>
        <w:szCs w:val="18"/>
      </w:rPr>
      <w:t>cultura@emas.pb.gov.br</w:t>
    </w:r>
    <w:r w:rsidRPr="00CD148C">
      <w:rPr>
        <w:rFonts w:asciiTheme="minorHAnsi" w:eastAsiaTheme="majorEastAsia" w:hAnsiTheme="minorHAnsi" w:cstheme="minorHAnsi"/>
        <w:bCs/>
        <w:color w:val="595959" w:themeColor="text1" w:themeTint="A6"/>
        <w:sz w:val="18"/>
        <w:szCs w:val="18"/>
      </w:rPr>
      <w:t xml:space="preserve"> | </w:t>
    </w:r>
    <w:r>
      <w:rPr>
        <w:rFonts w:asciiTheme="minorHAnsi" w:eastAsiaTheme="majorEastAsia" w:hAnsiTheme="minorHAnsi" w:cstheme="minorHAnsi"/>
        <w:bCs/>
        <w:color w:val="595959" w:themeColor="text1" w:themeTint="A6"/>
        <w:sz w:val="18"/>
        <w:szCs w:val="18"/>
      </w:rPr>
      <w:t>prefeitura@emas.pb.gov.br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5694DB" w14:textId="77777777" w:rsidR="00FA0A42" w:rsidRDefault="00FA0A42">
      <w:pPr>
        <w:spacing w:after="0" w:line="240" w:lineRule="auto"/>
      </w:pPr>
      <w:r>
        <w:separator/>
      </w:r>
    </w:p>
  </w:footnote>
  <w:footnote w:type="continuationSeparator" w:id="0">
    <w:p w14:paraId="5181EE30" w14:textId="77777777" w:rsidR="00FA0A42" w:rsidRDefault="00FA0A42">
      <w:pPr>
        <w:spacing w:after="0" w:line="240" w:lineRule="auto"/>
      </w:pPr>
      <w:r>
        <w:continuationSeparator/>
      </w:r>
    </w:p>
  </w:footnote>
  <w:footnote w:type="continuationNotice" w:id="1">
    <w:p w14:paraId="68765591" w14:textId="77777777" w:rsidR="00FA0A42" w:rsidRDefault="00FA0A4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65F2C" w14:textId="4C3954B3" w:rsidR="00C83E78" w:rsidRDefault="00E64B13" w:rsidP="00C83E78">
    <w:pPr>
      <w:widowControl w:val="0"/>
      <w:pBdr>
        <w:top w:val="nil"/>
        <w:left w:val="nil"/>
        <w:bottom w:val="nil"/>
        <w:right w:val="nil"/>
        <w:between w:val="nil"/>
      </w:pBdr>
      <w:spacing w:after="0" w:line="276" w:lineRule="auto"/>
      <w:jc w:val="right"/>
      <w:rPr>
        <w:noProof/>
        <w:color w:val="FF0000"/>
      </w:rPr>
    </w:pPr>
    <w:r>
      <w:rPr>
        <w:noProof/>
        <w:color w:val="000000"/>
        <w:sz w:val="24"/>
        <w:szCs w:val="24"/>
      </w:rPr>
      <w:drawing>
        <wp:anchor distT="0" distB="0" distL="114300" distR="114300" simplePos="0" relativeHeight="251660288" behindDoc="1" locked="0" layoutInCell="1" allowOverlap="1" wp14:anchorId="07AA5F7B" wp14:editId="01B725F3">
          <wp:simplePos x="0" y="0"/>
          <wp:positionH relativeFrom="column">
            <wp:posOffset>2968137</wp:posOffset>
          </wp:positionH>
          <wp:positionV relativeFrom="paragraph">
            <wp:posOffset>-214630</wp:posOffset>
          </wp:positionV>
          <wp:extent cx="904875" cy="647700"/>
          <wp:effectExtent l="0" t="0" r="9525" b="0"/>
          <wp:wrapTight wrapText="bothSides">
            <wp:wrapPolygon edited="0">
              <wp:start x="5002" y="0"/>
              <wp:lineTo x="2728" y="1271"/>
              <wp:lineTo x="0" y="6988"/>
              <wp:lineTo x="0" y="20965"/>
              <wp:lineTo x="21373" y="20965"/>
              <wp:lineTo x="21373" y="3812"/>
              <wp:lineTo x="17735" y="1271"/>
              <wp:lineTo x="7276" y="0"/>
              <wp:lineTo x="5002" y="0"/>
            </wp:wrapPolygon>
          </wp:wrapTight>
          <wp:docPr id="163706758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4875" cy="647700"/>
                  </a:xfrm>
                  <a:prstGeom prst="rect">
                    <a:avLst/>
                  </a:prstGeom>
                  <a:noFill/>
                </pic:spPr>
              </pic:pic>
            </a:graphicData>
          </a:graphic>
          <wp14:sizeRelH relativeFrom="page">
            <wp14:pctWidth>0</wp14:pctWidth>
          </wp14:sizeRelH>
          <wp14:sizeRelV relativeFrom="page">
            <wp14:pctHeight>0</wp14:pctHeight>
          </wp14:sizeRelV>
        </wp:anchor>
      </w:drawing>
    </w:r>
    <w:r w:rsidR="00C94DD8">
      <w:rPr>
        <w:noProof/>
        <w:color w:val="FF0000"/>
      </w:rPr>
      <w:drawing>
        <wp:anchor distT="0" distB="0" distL="114300" distR="114300" simplePos="0" relativeHeight="251659264" behindDoc="0" locked="0" layoutInCell="1" allowOverlap="1" wp14:anchorId="338E2791" wp14:editId="1E21CF1D">
          <wp:simplePos x="0" y="0"/>
          <wp:positionH relativeFrom="column">
            <wp:posOffset>3885174</wp:posOffset>
          </wp:positionH>
          <wp:positionV relativeFrom="paragraph">
            <wp:posOffset>-161290</wp:posOffset>
          </wp:positionV>
          <wp:extent cx="2252980" cy="539750"/>
          <wp:effectExtent l="0" t="0" r="0" b="0"/>
          <wp:wrapSquare wrapText="bothSides"/>
          <wp:docPr id="1871574541" name="Imagem 5" descr="Uma imagem contendo Ícon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984763" name="Imagem 5" descr="Uma imagem contendo Ícone&#10;&#10;Descrição gerada automa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52980" cy="539750"/>
                  </a:xfrm>
                  <a:prstGeom prst="rect">
                    <a:avLst/>
                  </a:prstGeom>
                  <a:noFill/>
                </pic:spPr>
              </pic:pic>
            </a:graphicData>
          </a:graphic>
          <wp14:sizeRelH relativeFrom="margin">
            <wp14:pctWidth>0</wp14:pctWidth>
          </wp14:sizeRelH>
          <wp14:sizeRelV relativeFrom="margin">
            <wp14:pctHeight>0</wp14:pctHeight>
          </wp14:sizeRelV>
        </wp:anchor>
      </w:drawing>
    </w:r>
    <w:r w:rsidR="002C6EE7">
      <w:rPr>
        <w:noProof/>
      </w:rPr>
      <w:drawing>
        <wp:anchor distT="0" distB="0" distL="114300" distR="114300" simplePos="0" relativeHeight="251664384" behindDoc="1" locked="0" layoutInCell="1" allowOverlap="1" wp14:anchorId="59072012" wp14:editId="67A74FC7">
          <wp:simplePos x="0" y="0"/>
          <wp:positionH relativeFrom="column">
            <wp:posOffset>1130300</wp:posOffset>
          </wp:positionH>
          <wp:positionV relativeFrom="paragraph">
            <wp:posOffset>-635000</wp:posOffset>
          </wp:positionV>
          <wp:extent cx="1676400" cy="1676400"/>
          <wp:effectExtent l="0" t="0" r="0" b="0"/>
          <wp:wrapNone/>
          <wp:docPr id="16363627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362741" name="Imagem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C6EE7">
      <w:rPr>
        <w:noProof/>
      </w:rPr>
      <w:drawing>
        <wp:anchor distT="0" distB="0" distL="114300" distR="114300" simplePos="0" relativeHeight="251662336" behindDoc="0" locked="0" layoutInCell="1" allowOverlap="1" wp14:anchorId="18D3AB0C" wp14:editId="50C3BC55">
          <wp:simplePos x="0" y="0"/>
          <wp:positionH relativeFrom="column">
            <wp:posOffset>-203200</wp:posOffset>
          </wp:positionH>
          <wp:positionV relativeFrom="paragraph">
            <wp:posOffset>-108585</wp:posOffset>
          </wp:positionV>
          <wp:extent cx="1392555" cy="575945"/>
          <wp:effectExtent l="0" t="0" r="0" b="0"/>
          <wp:wrapThrough wrapText="bothSides">
            <wp:wrapPolygon edited="0">
              <wp:start x="2955" y="0"/>
              <wp:lineTo x="591" y="7859"/>
              <wp:lineTo x="1182" y="12860"/>
              <wp:lineTo x="2955" y="18576"/>
              <wp:lineTo x="3250" y="20004"/>
              <wp:lineTo x="4728" y="20004"/>
              <wp:lineTo x="15661" y="18576"/>
              <wp:lineTo x="20093" y="17147"/>
              <wp:lineTo x="20093" y="3572"/>
              <wp:lineTo x="18320" y="2143"/>
              <wp:lineTo x="5319" y="0"/>
              <wp:lineTo x="2955" y="0"/>
            </wp:wrapPolygon>
          </wp:wrapThrough>
          <wp:docPr id="1653218666"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218666" name="Imagem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1392555" cy="57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39FBEA" w14:textId="3F196C18" w:rsidR="00032BE8" w:rsidRPr="009E494C" w:rsidRDefault="00032BE8" w:rsidP="00C83E78">
    <w:pPr>
      <w:widowControl w:val="0"/>
      <w:pBdr>
        <w:top w:val="nil"/>
        <w:left w:val="nil"/>
        <w:bottom w:val="nil"/>
        <w:right w:val="nil"/>
        <w:between w:val="nil"/>
      </w:pBdr>
      <w:spacing w:after="0" w:line="276" w:lineRule="auto"/>
      <w:jc w:val="center"/>
      <w:rPr>
        <w:rFonts w:asciiTheme="minorHAnsi" w:hAnsiTheme="minorHAnsi" w:cstheme="minorHAnsi"/>
        <w:b/>
        <w:sz w:val="2"/>
        <w:szCs w:val="2"/>
      </w:rPr>
    </w:pPr>
  </w:p>
  <w:p w14:paraId="7F592B0C" w14:textId="33789C32" w:rsidR="002C6EE7" w:rsidRDefault="002C6EE7" w:rsidP="00C83E78">
    <w:pPr>
      <w:widowControl w:val="0"/>
      <w:pBdr>
        <w:top w:val="nil"/>
        <w:left w:val="nil"/>
        <w:bottom w:val="nil"/>
        <w:right w:val="nil"/>
        <w:between w:val="nil"/>
      </w:pBdr>
      <w:spacing w:after="0" w:line="276" w:lineRule="auto"/>
      <w:jc w:val="center"/>
      <w:rPr>
        <w:rFonts w:asciiTheme="minorHAnsi" w:hAnsiTheme="minorHAnsi" w:cstheme="minorHAnsi"/>
        <w:b/>
        <w:sz w:val="24"/>
        <w:szCs w:val="24"/>
      </w:rPr>
    </w:pPr>
  </w:p>
  <w:p w14:paraId="0A413168" w14:textId="33BEBC57" w:rsidR="002C6EE7" w:rsidRPr="002C6EE7" w:rsidRDefault="002C6EE7" w:rsidP="00C83E78">
    <w:pPr>
      <w:widowControl w:val="0"/>
      <w:pBdr>
        <w:top w:val="nil"/>
        <w:left w:val="nil"/>
        <w:bottom w:val="nil"/>
        <w:right w:val="nil"/>
        <w:between w:val="nil"/>
      </w:pBdr>
      <w:spacing w:after="0" w:line="276" w:lineRule="auto"/>
      <w:jc w:val="center"/>
      <w:rPr>
        <w:rFonts w:asciiTheme="minorHAnsi" w:hAnsiTheme="minorHAnsi" w:cstheme="minorHAnsi"/>
        <w:b/>
        <w:sz w:val="10"/>
        <w:szCs w:val="10"/>
      </w:rPr>
    </w:pPr>
  </w:p>
  <w:p w14:paraId="53B10AA9" w14:textId="1AD576F4" w:rsidR="00AD46A4" w:rsidRDefault="00C83E78" w:rsidP="002C6EE7">
    <w:pPr>
      <w:widowControl w:val="0"/>
      <w:pBdr>
        <w:top w:val="nil"/>
        <w:left w:val="nil"/>
        <w:bottom w:val="nil"/>
        <w:right w:val="nil"/>
        <w:between w:val="nil"/>
      </w:pBdr>
      <w:spacing w:after="0" w:line="240" w:lineRule="auto"/>
      <w:jc w:val="center"/>
      <w:rPr>
        <w:noProof/>
      </w:rPr>
    </w:pPr>
    <w:r w:rsidRPr="008528B3">
      <w:rPr>
        <w:rFonts w:asciiTheme="minorHAnsi" w:hAnsiTheme="minorHAnsi" w:cstheme="minorHAnsi"/>
        <w:b/>
        <w:sz w:val="24"/>
        <w:szCs w:val="24"/>
      </w:rPr>
      <w:t>POLÍTICA NACIONAL ALDIR BLANC DE FOMENTO A CULTURA - PNAB</w:t>
    </w:r>
    <w:r>
      <w:rPr>
        <w:noProof/>
      </w:rPr>
      <w:t xml:space="preserve"> </w:t>
    </w:r>
  </w:p>
  <w:p w14:paraId="54178EF8" w14:textId="4CDAF2BB" w:rsidR="002F0C4B" w:rsidRDefault="00032BE8" w:rsidP="002C6EE7">
    <w:pPr>
      <w:widowControl w:val="0"/>
      <w:pBdr>
        <w:top w:val="nil"/>
        <w:left w:val="nil"/>
        <w:bottom w:val="nil"/>
        <w:right w:val="nil"/>
        <w:between w:val="nil"/>
      </w:pBdr>
      <w:spacing w:after="0" w:line="240" w:lineRule="auto"/>
      <w:jc w:val="center"/>
      <w:rPr>
        <w:noProof/>
      </w:rPr>
    </w:pPr>
    <w:r w:rsidRPr="008528B3">
      <w:rPr>
        <w:rFonts w:asciiTheme="minorHAnsi" w:hAnsiTheme="minorHAnsi" w:cstheme="minorHAnsi"/>
        <w:b/>
        <w:sz w:val="24"/>
        <w:szCs w:val="18"/>
      </w:rPr>
      <w:t>SECRETARIA MUNICIPAL DE CULTURA</w:t>
    </w:r>
    <w:r>
      <w:rPr>
        <w:rFonts w:asciiTheme="minorHAnsi" w:hAnsiTheme="minorHAnsi" w:cstheme="minorHAnsi"/>
        <w:b/>
        <w:sz w:val="24"/>
        <w:szCs w:val="18"/>
      </w:rPr>
      <w:t xml:space="preserve"> DE </w:t>
    </w:r>
    <w:r w:rsidR="005727C4">
      <w:rPr>
        <w:rFonts w:asciiTheme="minorHAnsi" w:hAnsiTheme="minorHAnsi" w:cstheme="minorHAnsi"/>
        <w:b/>
        <w:sz w:val="24"/>
        <w:szCs w:val="18"/>
      </w:rPr>
      <w:t>EMAS</w:t>
    </w:r>
    <w:r>
      <w:rPr>
        <w:noProof/>
      </w:rPr>
      <w:t xml:space="preserve"> </w:t>
    </w:r>
  </w:p>
  <w:p w14:paraId="5978BC6E" w14:textId="77777777" w:rsidR="002C6EE7" w:rsidRPr="002C6EE7" w:rsidRDefault="002C6EE7" w:rsidP="002C6EE7">
    <w:pPr>
      <w:widowControl w:val="0"/>
      <w:pBdr>
        <w:top w:val="double" w:sz="6" w:space="1" w:color="C00000"/>
        <w:left w:val="nil"/>
        <w:bottom w:val="nil"/>
        <w:right w:val="nil"/>
        <w:between w:val="nil"/>
      </w:pBdr>
      <w:spacing w:after="0" w:line="276" w:lineRule="auto"/>
      <w:jc w:val="center"/>
      <w:rPr>
        <w:noProof/>
        <w:color w:val="000000"/>
        <w:sz w:val="12"/>
        <w:szCs w:val="1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E378E"/>
    <w:multiLevelType w:val="multilevel"/>
    <w:tmpl w:val="590EDC22"/>
    <w:lvl w:ilvl="0">
      <w:start w:val="1"/>
      <w:numFmt w:val="upperRoman"/>
      <w:lvlText w:val="%1"/>
      <w:lvlJc w:val="left"/>
      <w:pPr>
        <w:ind w:left="720" w:hanging="360"/>
      </w:pPr>
      <w:rPr>
        <w:rFonts w:asciiTheme="minorHAnsi" w:eastAsia="Times New Roman" w:hAnsiTheme="minorHAnsi" w:cstheme="minorHAnsi" w:hint="default"/>
        <w:b/>
        <w:bCs/>
        <w:i w:val="0"/>
        <w:iCs w:val="0"/>
        <w:spacing w:val="0"/>
        <w:w w:val="100"/>
        <w:sz w:val="24"/>
        <w:szCs w:val="24"/>
        <w:lang w:val="pt-PT" w:eastAsia="en-US" w:bidi="ar-S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88371D0"/>
    <w:multiLevelType w:val="multilevel"/>
    <w:tmpl w:val="A016DAB0"/>
    <w:lvl w:ilvl="0">
      <w:start w:val="1"/>
      <w:numFmt w:val="upperRoman"/>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F2B5886"/>
    <w:multiLevelType w:val="multilevel"/>
    <w:tmpl w:val="B73039B8"/>
    <w:lvl w:ilvl="0">
      <w:start w:val="1"/>
      <w:numFmt w:val="upperRoman"/>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5E0383C"/>
    <w:multiLevelType w:val="multilevel"/>
    <w:tmpl w:val="FB323E52"/>
    <w:lvl w:ilvl="0">
      <w:start w:val="1"/>
      <w:numFmt w:val="upperRoman"/>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5E1B6BDC"/>
    <w:multiLevelType w:val="multilevel"/>
    <w:tmpl w:val="F984F7B8"/>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6F0550C1"/>
    <w:multiLevelType w:val="multilevel"/>
    <w:tmpl w:val="F65E22EE"/>
    <w:lvl w:ilvl="0">
      <w:start w:val="1"/>
      <w:numFmt w:val="decimal"/>
      <w:lvlText w:val="%1."/>
      <w:lvlJc w:val="left"/>
      <w:pPr>
        <w:ind w:left="720" w:hanging="360"/>
      </w:pPr>
    </w:lvl>
    <w:lvl w:ilvl="1">
      <w:start w:val="1"/>
      <w:numFmt w:val="decimal"/>
      <w:lvlText w:val="%1.%2."/>
      <w:lvlJc w:val="left"/>
      <w:pPr>
        <w:ind w:left="1440" w:hanging="360"/>
      </w:pPr>
      <w:rPr>
        <w:b/>
        <w:bCs/>
      </w:rPr>
    </w:lvl>
    <w:lvl w:ilvl="2">
      <w:start w:val="1"/>
      <w:numFmt w:val="decimal"/>
      <w:lvlText w:val="%1.%2.%3."/>
      <w:lvlJc w:val="left"/>
      <w:pPr>
        <w:ind w:left="2160" w:hanging="180"/>
      </w:pPr>
      <w:rPr>
        <w:b/>
        <w:bCs/>
        <w:color w:val="auto"/>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75592661"/>
    <w:multiLevelType w:val="multilevel"/>
    <w:tmpl w:val="3A424D52"/>
    <w:lvl w:ilvl="0">
      <w:start w:val="1"/>
      <w:numFmt w:val="upperRoman"/>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90025107">
    <w:abstractNumId w:val="0"/>
  </w:num>
  <w:num w:numId="2" w16cid:durableId="2127462102">
    <w:abstractNumId w:val="2"/>
  </w:num>
  <w:num w:numId="3" w16cid:durableId="180318933">
    <w:abstractNumId w:val="4"/>
  </w:num>
  <w:num w:numId="4" w16cid:durableId="1669551779">
    <w:abstractNumId w:val="3"/>
  </w:num>
  <w:num w:numId="5" w16cid:durableId="2115127362">
    <w:abstractNumId w:val="5"/>
  </w:num>
  <w:num w:numId="6" w16cid:durableId="1772168629">
    <w:abstractNumId w:val="1"/>
  </w:num>
  <w:num w:numId="7" w16cid:durableId="80597190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0C4B"/>
    <w:rsid w:val="000031EF"/>
    <w:rsid w:val="00005350"/>
    <w:rsid w:val="00012262"/>
    <w:rsid w:val="00017040"/>
    <w:rsid w:val="00021772"/>
    <w:rsid w:val="00022EDA"/>
    <w:rsid w:val="00025569"/>
    <w:rsid w:val="00025FBE"/>
    <w:rsid w:val="00026330"/>
    <w:rsid w:val="0003230E"/>
    <w:rsid w:val="00032BE8"/>
    <w:rsid w:val="00040B2C"/>
    <w:rsid w:val="00041805"/>
    <w:rsid w:val="00042281"/>
    <w:rsid w:val="0005153B"/>
    <w:rsid w:val="00072CB4"/>
    <w:rsid w:val="00081849"/>
    <w:rsid w:val="000833A6"/>
    <w:rsid w:val="00087109"/>
    <w:rsid w:val="000A3EAF"/>
    <w:rsid w:val="000B3F64"/>
    <w:rsid w:val="000B7F78"/>
    <w:rsid w:val="000C1FBF"/>
    <w:rsid w:val="000D44F0"/>
    <w:rsid w:val="000D70E4"/>
    <w:rsid w:val="000F05B0"/>
    <w:rsid w:val="000F101E"/>
    <w:rsid w:val="00104043"/>
    <w:rsid w:val="001128E1"/>
    <w:rsid w:val="00121ED8"/>
    <w:rsid w:val="00122093"/>
    <w:rsid w:val="001267CF"/>
    <w:rsid w:val="001618F5"/>
    <w:rsid w:val="001713F5"/>
    <w:rsid w:val="00171491"/>
    <w:rsid w:val="00177637"/>
    <w:rsid w:val="00181464"/>
    <w:rsid w:val="0018580A"/>
    <w:rsid w:val="00186223"/>
    <w:rsid w:val="00190B88"/>
    <w:rsid w:val="00191A91"/>
    <w:rsid w:val="001976DD"/>
    <w:rsid w:val="001B1C12"/>
    <w:rsid w:val="001B57C0"/>
    <w:rsid w:val="001B650A"/>
    <w:rsid w:val="001D234A"/>
    <w:rsid w:val="001D66F6"/>
    <w:rsid w:val="001D6853"/>
    <w:rsid w:val="001D7C19"/>
    <w:rsid w:val="001E547E"/>
    <w:rsid w:val="001F0164"/>
    <w:rsid w:val="001F3AF9"/>
    <w:rsid w:val="001F54A7"/>
    <w:rsid w:val="0020166F"/>
    <w:rsid w:val="0022302D"/>
    <w:rsid w:val="00230CD3"/>
    <w:rsid w:val="00236E5C"/>
    <w:rsid w:val="00240A92"/>
    <w:rsid w:val="00242945"/>
    <w:rsid w:val="0024402D"/>
    <w:rsid w:val="00246321"/>
    <w:rsid w:val="00246844"/>
    <w:rsid w:val="002472C7"/>
    <w:rsid w:val="002477A4"/>
    <w:rsid w:val="00250240"/>
    <w:rsid w:val="00252786"/>
    <w:rsid w:val="00252877"/>
    <w:rsid w:val="00262085"/>
    <w:rsid w:val="00267508"/>
    <w:rsid w:val="002732E0"/>
    <w:rsid w:val="002763FD"/>
    <w:rsid w:val="0028037D"/>
    <w:rsid w:val="00287532"/>
    <w:rsid w:val="00291777"/>
    <w:rsid w:val="002946B8"/>
    <w:rsid w:val="00294AC7"/>
    <w:rsid w:val="002C17AB"/>
    <w:rsid w:val="002C6EE7"/>
    <w:rsid w:val="002C7C92"/>
    <w:rsid w:val="002D0438"/>
    <w:rsid w:val="002D057A"/>
    <w:rsid w:val="002D0C71"/>
    <w:rsid w:val="002D0F92"/>
    <w:rsid w:val="002D56FD"/>
    <w:rsid w:val="002D6BF9"/>
    <w:rsid w:val="002F0C4B"/>
    <w:rsid w:val="002F6677"/>
    <w:rsid w:val="003014CB"/>
    <w:rsid w:val="003060BD"/>
    <w:rsid w:val="00326878"/>
    <w:rsid w:val="00326FC1"/>
    <w:rsid w:val="00335635"/>
    <w:rsid w:val="003438A9"/>
    <w:rsid w:val="00344276"/>
    <w:rsid w:val="00346911"/>
    <w:rsid w:val="00350527"/>
    <w:rsid w:val="00360269"/>
    <w:rsid w:val="00375FAD"/>
    <w:rsid w:val="00376BB4"/>
    <w:rsid w:val="00380492"/>
    <w:rsid w:val="0038054D"/>
    <w:rsid w:val="003846D2"/>
    <w:rsid w:val="0038555E"/>
    <w:rsid w:val="0038616F"/>
    <w:rsid w:val="00391928"/>
    <w:rsid w:val="003A062C"/>
    <w:rsid w:val="003A24FD"/>
    <w:rsid w:val="003B2343"/>
    <w:rsid w:val="003B39A6"/>
    <w:rsid w:val="003C44F5"/>
    <w:rsid w:val="003C7F49"/>
    <w:rsid w:val="003D7CAD"/>
    <w:rsid w:val="003D7E61"/>
    <w:rsid w:val="003E39B3"/>
    <w:rsid w:val="003E7130"/>
    <w:rsid w:val="003F30CA"/>
    <w:rsid w:val="00415D75"/>
    <w:rsid w:val="0043134E"/>
    <w:rsid w:val="004353DB"/>
    <w:rsid w:val="00435542"/>
    <w:rsid w:val="004443A4"/>
    <w:rsid w:val="00445048"/>
    <w:rsid w:val="00456CDE"/>
    <w:rsid w:val="00472890"/>
    <w:rsid w:val="00490DAB"/>
    <w:rsid w:val="0049114D"/>
    <w:rsid w:val="004933D5"/>
    <w:rsid w:val="004A1030"/>
    <w:rsid w:val="004A3178"/>
    <w:rsid w:val="004D1545"/>
    <w:rsid w:val="004D69F5"/>
    <w:rsid w:val="004E6995"/>
    <w:rsid w:val="00502614"/>
    <w:rsid w:val="0051732E"/>
    <w:rsid w:val="0052403C"/>
    <w:rsid w:val="00527A75"/>
    <w:rsid w:val="00553E5C"/>
    <w:rsid w:val="00562150"/>
    <w:rsid w:val="005643FF"/>
    <w:rsid w:val="005668FF"/>
    <w:rsid w:val="00567E8E"/>
    <w:rsid w:val="0057067E"/>
    <w:rsid w:val="005715D9"/>
    <w:rsid w:val="005727C4"/>
    <w:rsid w:val="00573319"/>
    <w:rsid w:val="00580E1D"/>
    <w:rsid w:val="005868EC"/>
    <w:rsid w:val="00590E41"/>
    <w:rsid w:val="00593D1D"/>
    <w:rsid w:val="005B442E"/>
    <w:rsid w:val="005C20A4"/>
    <w:rsid w:val="005C7051"/>
    <w:rsid w:val="005C7EE9"/>
    <w:rsid w:val="005D02B3"/>
    <w:rsid w:val="005D5105"/>
    <w:rsid w:val="005D649E"/>
    <w:rsid w:val="005E3E4F"/>
    <w:rsid w:val="005F0D7D"/>
    <w:rsid w:val="005F2B9B"/>
    <w:rsid w:val="005F44C0"/>
    <w:rsid w:val="00605447"/>
    <w:rsid w:val="00607B62"/>
    <w:rsid w:val="00612FE9"/>
    <w:rsid w:val="006209F9"/>
    <w:rsid w:val="00624F77"/>
    <w:rsid w:val="00627A6E"/>
    <w:rsid w:val="00634ECC"/>
    <w:rsid w:val="00647941"/>
    <w:rsid w:val="00653138"/>
    <w:rsid w:val="0065565A"/>
    <w:rsid w:val="006639E8"/>
    <w:rsid w:val="00675A8F"/>
    <w:rsid w:val="00680773"/>
    <w:rsid w:val="00682B9D"/>
    <w:rsid w:val="0068763D"/>
    <w:rsid w:val="00696653"/>
    <w:rsid w:val="006A32EC"/>
    <w:rsid w:val="006A52C0"/>
    <w:rsid w:val="006A56F7"/>
    <w:rsid w:val="006A72EB"/>
    <w:rsid w:val="006A7CB9"/>
    <w:rsid w:val="006B1CAB"/>
    <w:rsid w:val="006B408E"/>
    <w:rsid w:val="006B53CC"/>
    <w:rsid w:val="006C2FC7"/>
    <w:rsid w:val="006C3C81"/>
    <w:rsid w:val="006C4EFC"/>
    <w:rsid w:val="006C686C"/>
    <w:rsid w:val="006E46AF"/>
    <w:rsid w:val="006E7E9F"/>
    <w:rsid w:val="006F204B"/>
    <w:rsid w:val="006F51B8"/>
    <w:rsid w:val="006F52C4"/>
    <w:rsid w:val="006F606A"/>
    <w:rsid w:val="00705545"/>
    <w:rsid w:val="00745A59"/>
    <w:rsid w:val="00751A5B"/>
    <w:rsid w:val="00760C07"/>
    <w:rsid w:val="00761440"/>
    <w:rsid w:val="007673B0"/>
    <w:rsid w:val="007A6517"/>
    <w:rsid w:val="007B3DE9"/>
    <w:rsid w:val="007C04C7"/>
    <w:rsid w:val="007E4F08"/>
    <w:rsid w:val="007F433F"/>
    <w:rsid w:val="00800B6F"/>
    <w:rsid w:val="008143B8"/>
    <w:rsid w:val="0081787F"/>
    <w:rsid w:val="0082214A"/>
    <w:rsid w:val="00822B25"/>
    <w:rsid w:val="0084016E"/>
    <w:rsid w:val="00850A70"/>
    <w:rsid w:val="008521F0"/>
    <w:rsid w:val="00853C1A"/>
    <w:rsid w:val="008575B2"/>
    <w:rsid w:val="00867295"/>
    <w:rsid w:val="0087333C"/>
    <w:rsid w:val="00897822"/>
    <w:rsid w:val="008A3BF3"/>
    <w:rsid w:val="008B6306"/>
    <w:rsid w:val="008C1210"/>
    <w:rsid w:val="008D64A8"/>
    <w:rsid w:val="008E32A7"/>
    <w:rsid w:val="008E5220"/>
    <w:rsid w:val="00904EE9"/>
    <w:rsid w:val="00914720"/>
    <w:rsid w:val="00916749"/>
    <w:rsid w:val="00925139"/>
    <w:rsid w:val="009339A3"/>
    <w:rsid w:val="009400A3"/>
    <w:rsid w:val="00941AEE"/>
    <w:rsid w:val="00953DEC"/>
    <w:rsid w:val="0095783D"/>
    <w:rsid w:val="00962ECF"/>
    <w:rsid w:val="00965779"/>
    <w:rsid w:val="00970C86"/>
    <w:rsid w:val="00971722"/>
    <w:rsid w:val="00987333"/>
    <w:rsid w:val="009A7497"/>
    <w:rsid w:val="009B0956"/>
    <w:rsid w:val="009B66C8"/>
    <w:rsid w:val="009D1BFD"/>
    <w:rsid w:val="009E0496"/>
    <w:rsid w:val="009E494C"/>
    <w:rsid w:val="00A0080A"/>
    <w:rsid w:val="00A05EE2"/>
    <w:rsid w:val="00A149A8"/>
    <w:rsid w:val="00A2491A"/>
    <w:rsid w:val="00A320AF"/>
    <w:rsid w:val="00A321B7"/>
    <w:rsid w:val="00A343A9"/>
    <w:rsid w:val="00A462F0"/>
    <w:rsid w:val="00A47335"/>
    <w:rsid w:val="00A549B0"/>
    <w:rsid w:val="00A5632C"/>
    <w:rsid w:val="00A67444"/>
    <w:rsid w:val="00A70766"/>
    <w:rsid w:val="00A757AD"/>
    <w:rsid w:val="00A81CB9"/>
    <w:rsid w:val="00A83C68"/>
    <w:rsid w:val="00A864D2"/>
    <w:rsid w:val="00A908D8"/>
    <w:rsid w:val="00A92E05"/>
    <w:rsid w:val="00AA20AA"/>
    <w:rsid w:val="00AA3B7A"/>
    <w:rsid w:val="00AB1B35"/>
    <w:rsid w:val="00AB3B48"/>
    <w:rsid w:val="00AC0CA5"/>
    <w:rsid w:val="00AC354D"/>
    <w:rsid w:val="00AC42E2"/>
    <w:rsid w:val="00AC430C"/>
    <w:rsid w:val="00AC6199"/>
    <w:rsid w:val="00AC623E"/>
    <w:rsid w:val="00AD338A"/>
    <w:rsid w:val="00AD46A4"/>
    <w:rsid w:val="00AE1191"/>
    <w:rsid w:val="00AE6A87"/>
    <w:rsid w:val="00AF402C"/>
    <w:rsid w:val="00B1189C"/>
    <w:rsid w:val="00B15BF6"/>
    <w:rsid w:val="00B36625"/>
    <w:rsid w:val="00B531CA"/>
    <w:rsid w:val="00B56F6B"/>
    <w:rsid w:val="00B741BB"/>
    <w:rsid w:val="00B91C3E"/>
    <w:rsid w:val="00B92462"/>
    <w:rsid w:val="00B934C1"/>
    <w:rsid w:val="00BA0449"/>
    <w:rsid w:val="00BA384D"/>
    <w:rsid w:val="00BA4F5B"/>
    <w:rsid w:val="00BB1096"/>
    <w:rsid w:val="00BC51F1"/>
    <w:rsid w:val="00BD4201"/>
    <w:rsid w:val="00BD4350"/>
    <w:rsid w:val="00BE010D"/>
    <w:rsid w:val="00BE7242"/>
    <w:rsid w:val="00C0612A"/>
    <w:rsid w:val="00C07769"/>
    <w:rsid w:val="00C22029"/>
    <w:rsid w:val="00C27938"/>
    <w:rsid w:val="00C54162"/>
    <w:rsid w:val="00C56BD2"/>
    <w:rsid w:val="00C5782A"/>
    <w:rsid w:val="00C64760"/>
    <w:rsid w:val="00C64AB1"/>
    <w:rsid w:val="00C71318"/>
    <w:rsid w:val="00C72E9F"/>
    <w:rsid w:val="00C75B04"/>
    <w:rsid w:val="00C83D31"/>
    <w:rsid w:val="00C83E78"/>
    <w:rsid w:val="00C94D26"/>
    <w:rsid w:val="00C94DD8"/>
    <w:rsid w:val="00C95FA1"/>
    <w:rsid w:val="00C96F19"/>
    <w:rsid w:val="00CA69F6"/>
    <w:rsid w:val="00CA7091"/>
    <w:rsid w:val="00CA72BC"/>
    <w:rsid w:val="00CA7DDA"/>
    <w:rsid w:val="00CD3697"/>
    <w:rsid w:val="00CF4BA0"/>
    <w:rsid w:val="00D00F7D"/>
    <w:rsid w:val="00D02A59"/>
    <w:rsid w:val="00D10D85"/>
    <w:rsid w:val="00D14E55"/>
    <w:rsid w:val="00D160BF"/>
    <w:rsid w:val="00D218D8"/>
    <w:rsid w:val="00D22428"/>
    <w:rsid w:val="00D24F3B"/>
    <w:rsid w:val="00D25A49"/>
    <w:rsid w:val="00D36CD3"/>
    <w:rsid w:val="00D42474"/>
    <w:rsid w:val="00D50C1D"/>
    <w:rsid w:val="00D529AF"/>
    <w:rsid w:val="00D53E24"/>
    <w:rsid w:val="00D636D6"/>
    <w:rsid w:val="00D7361F"/>
    <w:rsid w:val="00D74012"/>
    <w:rsid w:val="00D76115"/>
    <w:rsid w:val="00D836A9"/>
    <w:rsid w:val="00D86387"/>
    <w:rsid w:val="00DA0301"/>
    <w:rsid w:val="00DA4F2E"/>
    <w:rsid w:val="00DC5288"/>
    <w:rsid w:val="00DD19D3"/>
    <w:rsid w:val="00DD4DD3"/>
    <w:rsid w:val="00DD5DC4"/>
    <w:rsid w:val="00DE048A"/>
    <w:rsid w:val="00DE090B"/>
    <w:rsid w:val="00DE0AC1"/>
    <w:rsid w:val="00DF26C4"/>
    <w:rsid w:val="00E02EEB"/>
    <w:rsid w:val="00E07F3E"/>
    <w:rsid w:val="00E10598"/>
    <w:rsid w:val="00E244F6"/>
    <w:rsid w:val="00E37D3F"/>
    <w:rsid w:val="00E44D99"/>
    <w:rsid w:val="00E63F28"/>
    <w:rsid w:val="00E64803"/>
    <w:rsid w:val="00E64B13"/>
    <w:rsid w:val="00E66609"/>
    <w:rsid w:val="00E66D65"/>
    <w:rsid w:val="00E72D89"/>
    <w:rsid w:val="00E93031"/>
    <w:rsid w:val="00E93F07"/>
    <w:rsid w:val="00E96DFA"/>
    <w:rsid w:val="00EA02E7"/>
    <w:rsid w:val="00EA1B07"/>
    <w:rsid w:val="00EA4ECA"/>
    <w:rsid w:val="00EA6591"/>
    <w:rsid w:val="00EA7420"/>
    <w:rsid w:val="00EB0903"/>
    <w:rsid w:val="00EB4690"/>
    <w:rsid w:val="00EB47F0"/>
    <w:rsid w:val="00EB4F5E"/>
    <w:rsid w:val="00EB5E41"/>
    <w:rsid w:val="00ED1626"/>
    <w:rsid w:val="00ED4B5F"/>
    <w:rsid w:val="00EE05A1"/>
    <w:rsid w:val="00EE36C9"/>
    <w:rsid w:val="00EE5B8D"/>
    <w:rsid w:val="00EF39BB"/>
    <w:rsid w:val="00EF5BFD"/>
    <w:rsid w:val="00F0096D"/>
    <w:rsid w:val="00F0195C"/>
    <w:rsid w:val="00F03FFC"/>
    <w:rsid w:val="00F127B4"/>
    <w:rsid w:val="00F20C98"/>
    <w:rsid w:val="00F2167E"/>
    <w:rsid w:val="00F36AC4"/>
    <w:rsid w:val="00F40D29"/>
    <w:rsid w:val="00F42239"/>
    <w:rsid w:val="00F43E1B"/>
    <w:rsid w:val="00F4401C"/>
    <w:rsid w:val="00F45B5C"/>
    <w:rsid w:val="00F476F1"/>
    <w:rsid w:val="00F5135E"/>
    <w:rsid w:val="00F56B59"/>
    <w:rsid w:val="00F60F45"/>
    <w:rsid w:val="00F670BB"/>
    <w:rsid w:val="00F70844"/>
    <w:rsid w:val="00F84F95"/>
    <w:rsid w:val="00F92050"/>
    <w:rsid w:val="00FA0A42"/>
    <w:rsid w:val="00FB2AC9"/>
    <w:rsid w:val="00FB3833"/>
    <w:rsid w:val="00FB4145"/>
    <w:rsid w:val="00FB54E8"/>
    <w:rsid w:val="00FB72D3"/>
    <w:rsid w:val="00FC6BB9"/>
    <w:rsid w:val="00FD07B0"/>
    <w:rsid w:val="00FF54D1"/>
    <w:rsid w:val="017D47C6"/>
    <w:rsid w:val="0666CB95"/>
    <w:rsid w:val="0AD6F32D"/>
    <w:rsid w:val="0CA00314"/>
    <w:rsid w:val="1436D767"/>
    <w:rsid w:val="17185A76"/>
    <w:rsid w:val="20F423FB"/>
    <w:rsid w:val="217E4D53"/>
    <w:rsid w:val="236B3716"/>
    <w:rsid w:val="260AAC32"/>
    <w:rsid w:val="3515CDBD"/>
    <w:rsid w:val="38730F22"/>
    <w:rsid w:val="396E05D9"/>
    <w:rsid w:val="3A96E3AE"/>
    <w:rsid w:val="3CFF216E"/>
    <w:rsid w:val="54E2EDD4"/>
    <w:rsid w:val="551A18F8"/>
    <w:rsid w:val="58B7CA9F"/>
    <w:rsid w:val="5A3B4ACD"/>
    <w:rsid w:val="5CF13C33"/>
    <w:rsid w:val="5E4EFD8C"/>
    <w:rsid w:val="5F43FBAC"/>
    <w:rsid w:val="66B95ED3"/>
    <w:rsid w:val="699FD636"/>
    <w:rsid w:val="7DB5160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AEF5B2"/>
  <w15:docId w15:val="{96DF046F-3328-4185-AE4A-ECA09E664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47F0"/>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paragraph" w:styleId="PargrafodaLista">
    <w:name w:val="List Paragraph"/>
    <w:basedOn w:val="Normal"/>
    <w:uiPriority w:val="34"/>
    <w:qFormat/>
    <w:pPr>
      <w:ind w:left="720"/>
      <w:contextualSpacing/>
    </w:pPr>
  </w:style>
  <w:style w:type="character" w:styleId="Hyperlink">
    <w:name w:val="Hyperlink"/>
    <w:basedOn w:val="Fontepargpadro"/>
    <w:uiPriority w:val="99"/>
    <w:unhideWhenUsed/>
    <w:rPr>
      <w:color w:val="0563C1" w:themeColor="hyperlink"/>
      <w:u w:val="single"/>
    </w:rPr>
  </w:style>
  <w:style w:type="table" w:styleId="Tabelacomgrade">
    <w:name w:val="Table Grid"/>
    <w:basedOn w:val="Tabela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abealhoChar">
    <w:name w:val="Cabeçalho Char"/>
    <w:basedOn w:val="Fontepargpadro"/>
    <w:link w:val="Cabealho"/>
    <w:uiPriority w:val="99"/>
  </w:style>
  <w:style w:type="paragraph" w:styleId="Cabealho">
    <w:name w:val="header"/>
    <w:basedOn w:val="Normal"/>
    <w:link w:val="CabealhoChar"/>
    <w:uiPriority w:val="99"/>
    <w:unhideWhenUsed/>
    <w:pPr>
      <w:tabs>
        <w:tab w:val="center" w:pos="4680"/>
        <w:tab w:val="right" w:pos="9360"/>
      </w:tabs>
      <w:spacing w:after="0" w:line="240" w:lineRule="auto"/>
    </w:pPr>
  </w:style>
  <w:style w:type="character" w:customStyle="1" w:styleId="RodapChar">
    <w:name w:val="Rodapé Char"/>
    <w:basedOn w:val="Fontepargpadro"/>
    <w:link w:val="Rodap"/>
  </w:style>
  <w:style w:type="paragraph" w:styleId="Rodap">
    <w:name w:val="footer"/>
    <w:basedOn w:val="Normal"/>
    <w:link w:val="RodapChar"/>
    <w:unhideWhenUsed/>
    <w:pPr>
      <w:tabs>
        <w:tab w:val="center" w:pos="4680"/>
        <w:tab w:val="right" w:pos="9360"/>
      </w:tabs>
      <w:spacing w:after="0" w:line="240" w:lineRule="auto"/>
    </w:pPr>
  </w:style>
  <w:style w:type="paragraph" w:customStyle="1" w:styleId="textojustificado">
    <w:name w:val="texto_justificado"/>
    <w:basedOn w:val="Normal"/>
    <w:rsid w:val="35D881F1"/>
    <w:pPr>
      <w:spacing w:beforeAutospacing="1" w:afterAutospacing="1" w:line="240" w:lineRule="auto"/>
    </w:pPr>
    <w:rPr>
      <w:rFonts w:ascii="Times New Roman" w:eastAsia="Times New Roman" w:hAnsi="Times New Roman" w:cs="Times New Roman"/>
      <w:sz w:val="24"/>
      <w:szCs w:val="24"/>
    </w:rPr>
  </w:style>
  <w:style w:type="paragraph" w:customStyle="1" w:styleId="dou-paragraph">
    <w:name w:val="dou-paragraph"/>
    <w:basedOn w:val="Normal"/>
    <w:rsid w:val="35D881F1"/>
    <w:pPr>
      <w:spacing w:beforeAutospacing="1"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Pr>
      <w:b/>
      <w:bCs/>
    </w:rPr>
  </w:style>
  <w:style w:type="paragraph" w:styleId="Textodecomentrio">
    <w:name w:val="annotation text"/>
    <w:basedOn w:val="Normal"/>
    <w:link w:val="TextodecomentrioChar"/>
    <w:uiPriority w:val="99"/>
    <w:unhideWhenUsed/>
    <w:pPr>
      <w:spacing w:line="240" w:lineRule="auto"/>
    </w:pPr>
    <w:rPr>
      <w:sz w:val="20"/>
      <w:szCs w:val="20"/>
    </w:rPr>
  </w:style>
  <w:style w:type="character" w:customStyle="1" w:styleId="TextodecomentrioChar">
    <w:name w:val="Texto de comentário Char"/>
    <w:basedOn w:val="Fontepargpadro"/>
    <w:link w:val="Textodecomentrio"/>
    <w:uiPriority w:val="99"/>
    <w:rPr>
      <w:sz w:val="20"/>
      <w:szCs w:val="20"/>
    </w:rPr>
  </w:style>
  <w:style w:type="character" w:styleId="Refdecomentrio">
    <w:name w:val="annotation reference"/>
    <w:basedOn w:val="Fontepargpadro"/>
    <w:uiPriority w:val="99"/>
    <w:semiHidden/>
    <w:unhideWhenUsed/>
    <w:rPr>
      <w:sz w:val="16"/>
      <w:szCs w:val="16"/>
    </w:rPr>
  </w:style>
  <w:style w:type="character" w:customStyle="1" w:styleId="normaltextrun">
    <w:name w:val="normaltextrun"/>
    <w:basedOn w:val="Fontepargpadro"/>
    <w:rsid w:val="00FF2E1E"/>
  </w:style>
  <w:style w:type="character" w:customStyle="1" w:styleId="eop">
    <w:name w:val="eop"/>
    <w:basedOn w:val="Fontepargpadro"/>
    <w:rsid w:val="00FF2E1E"/>
  </w:style>
  <w:style w:type="paragraph" w:customStyle="1" w:styleId="paragraph">
    <w:name w:val="paragraph"/>
    <w:basedOn w:val="Normal"/>
    <w:rsid w:val="00550555"/>
    <w:pPr>
      <w:spacing w:before="100" w:beforeAutospacing="1" w:after="100" w:afterAutospacing="1" w:line="240" w:lineRule="auto"/>
    </w:pPr>
    <w:rPr>
      <w:rFonts w:ascii="Times New Roman" w:eastAsia="Times New Roman" w:hAnsi="Times New Roman" w:cs="Times New Roman"/>
      <w:sz w:val="24"/>
      <w:szCs w:val="24"/>
    </w:rPr>
  </w:style>
  <w:style w:type="paragraph" w:styleId="Reviso">
    <w:name w:val="Revision"/>
    <w:hidden/>
    <w:uiPriority w:val="99"/>
    <w:semiHidden/>
    <w:rsid w:val="00AA150D"/>
    <w:pPr>
      <w:spacing w:after="0" w:line="240" w:lineRule="auto"/>
    </w:pPr>
  </w:style>
  <w:style w:type="paragraph" w:styleId="Assuntodocomentrio">
    <w:name w:val="annotation subject"/>
    <w:basedOn w:val="Textodecomentrio"/>
    <w:next w:val="Textodecomentrio"/>
    <w:link w:val="AssuntodocomentrioChar"/>
    <w:uiPriority w:val="99"/>
    <w:semiHidden/>
    <w:unhideWhenUsed/>
    <w:rsid w:val="00AA150D"/>
    <w:rPr>
      <w:b/>
      <w:bCs/>
    </w:rPr>
  </w:style>
  <w:style w:type="character" w:customStyle="1" w:styleId="AssuntodocomentrioChar">
    <w:name w:val="Assunto do comentário Char"/>
    <w:basedOn w:val="TextodecomentrioChar"/>
    <w:link w:val="Assuntodocomentrio"/>
    <w:uiPriority w:val="99"/>
    <w:semiHidden/>
    <w:rsid w:val="00AA150D"/>
    <w:rPr>
      <w:b/>
      <w:bCs/>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anormal"/>
    <w:pPr>
      <w:spacing w:after="0" w:line="240" w:lineRule="auto"/>
    </w:pPr>
    <w:tblPr>
      <w:tblStyleRowBandSize w:val="1"/>
      <w:tblStyleColBandSize w:val="1"/>
      <w:tblInd w:w="0" w:type="nil"/>
    </w:tblPr>
  </w:style>
  <w:style w:type="table" w:customStyle="1" w:styleId="a0">
    <w:basedOn w:val="Tabelanormal"/>
    <w:pPr>
      <w:spacing w:after="0" w:line="240" w:lineRule="auto"/>
    </w:pPr>
    <w:tblPr>
      <w:tblStyleRowBandSize w:val="1"/>
      <w:tblStyleColBandSize w:val="1"/>
      <w:tblInd w:w="0" w:type="nil"/>
    </w:tblPr>
  </w:style>
  <w:style w:type="table" w:customStyle="1" w:styleId="a1">
    <w:basedOn w:val="Tabelanormal"/>
    <w:pPr>
      <w:spacing w:after="0" w:line="240" w:lineRule="auto"/>
    </w:pPr>
    <w:tblPr>
      <w:tblStyleRowBandSize w:val="1"/>
      <w:tblStyleColBandSize w:val="1"/>
      <w:tblInd w:w="0" w:type="nil"/>
    </w:tblPr>
  </w:style>
  <w:style w:type="table" w:customStyle="1" w:styleId="a2">
    <w:basedOn w:val="Tabelanormal"/>
    <w:pPr>
      <w:spacing w:after="0" w:line="240" w:lineRule="auto"/>
    </w:pPr>
    <w:tblPr>
      <w:tblStyleRowBandSize w:val="1"/>
      <w:tblStyleColBandSize w:val="1"/>
      <w:tblInd w:w="0" w:type="nil"/>
    </w:tblPr>
  </w:style>
  <w:style w:type="table" w:customStyle="1" w:styleId="a3">
    <w:basedOn w:val="Tabelanormal"/>
    <w:pPr>
      <w:spacing w:after="0" w:line="240" w:lineRule="auto"/>
    </w:pPr>
    <w:tblPr>
      <w:tblStyleRowBandSize w:val="1"/>
      <w:tblStyleColBandSize w:val="1"/>
      <w:tblInd w:w="0" w:type="nil"/>
    </w:tblPr>
  </w:style>
  <w:style w:type="table" w:customStyle="1" w:styleId="a4">
    <w:basedOn w:val="Tabelanormal"/>
    <w:pPr>
      <w:spacing w:after="0" w:line="240" w:lineRule="auto"/>
    </w:pPr>
    <w:tblPr>
      <w:tblStyleRowBandSize w:val="1"/>
      <w:tblStyleColBandSize w:val="1"/>
      <w:tblInd w:w="0" w:type="nil"/>
    </w:tblPr>
  </w:style>
  <w:style w:type="table" w:customStyle="1" w:styleId="a5">
    <w:basedOn w:val="Tabelanormal"/>
    <w:pPr>
      <w:spacing w:after="0" w:line="240" w:lineRule="auto"/>
    </w:pPr>
    <w:tblPr>
      <w:tblStyleRowBandSize w:val="1"/>
      <w:tblStyleColBandSize w:val="1"/>
      <w:tblInd w:w="0" w:type="nil"/>
    </w:tblPr>
  </w:style>
  <w:style w:type="table" w:customStyle="1" w:styleId="a6">
    <w:basedOn w:val="Tabelanormal"/>
    <w:pPr>
      <w:spacing w:after="0" w:line="240" w:lineRule="auto"/>
    </w:pPr>
    <w:tblPr>
      <w:tblStyleRowBandSize w:val="1"/>
      <w:tblStyleColBandSize w:val="1"/>
      <w:tblInd w:w="0" w:type="nil"/>
    </w:tblPr>
  </w:style>
  <w:style w:type="table" w:customStyle="1" w:styleId="a7">
    <w:basedOn w:val="Tabelanormal"/>
    <w:pPr>
      <w:spacing w:after="0" w:line="240" w:lineRule="auto"/>
    </w:pPr>
    <w:tblPr>
      <w:tblStyleRowBandSize w:val="1"/>
      <w:tblStyleColBandSize w:val="1"/>
      <w:tblInd w:w="0" w:type="nil"/>
    </w:tblPr>
  </w:style>
  <w:style w:type="table" w:customStyle="1" w:styleId="a8">
    <w:basedOn w:val="Tabelanormal"/>
    <w:pPr>
      <w:spacing w:after="0" w:line="240" w:lineRule="auto"/>
    </w:pPr>
    <w:tblPr>
      <w:tblStyleRowBandSize w:val="1"/>
      <w:tblStyleColBandSize w:val="1"/>
      <w:tblInd w:w="0" w:type="nil"/>
    </w:tblPr>
  </w:style>
  <w:style w:type="table" w:customStyle="1" w:styleId="a9">
    <w:basedOn w:val="Tabelanormal"/>
    <w:pPr>
      <w:spacing w:after="0" w:line="240" w:lineRule="auto"/>
    </w:pPr>
    <w:tblPr>
      <w:tblStyleRowBandSize w:val="1"/>
      <w:tblStyleColBandSize w:val="1"/>
      <w:tblInd w:w="0" w:type="nil"/>
    </w:tblPr>
  </w:style>
  <w:style w:type="table" w:customStyle="1" w:styleId="aa">
    <w:basedOn w:val="Tabelanormal"/>
    <w:pPr>
      <w:spacing w:after="0" w:line="240" w:lineRule="auto"/>
    </w:pPr>
    <w:tblPr>
      <w:tblStyleRowBandSize w:val="1"/>
      <w:tblStyleColBandSize w:val="1"/>
      <w:tblInd w:w="0" w:type="nil"/>
    </w:tblPr>
  </w:style>
  <w:style w:type="table" w:customStyle="1" w:styleId="ab">
    <w:basedOn w:val="Tabelanormal"/>
    <w:tblPr>
      <w:tblStyleRowBandSize w:val="1"/>
      <w:tblStyleColBandSize w:val="1"/>
      <w:tblInd w:w="0" w:type="nil"/>
      <w:tblCellMar>
        <w:left w:w="115" w:type="dxa"/>
        <w:right w:w="115" w:type="dxa"/>
      </w:tblCellMar>
    </w:tblPr>
  </w:style>
  <w:style w:type="table" w:customStyle="1" w:styleId="ac">
    <w:basedOn w:val="Tabelanormal"/>
    <w:tblPr>
      <w:tblStyleRowBandSize w:val="1"/>
      <w:tblStyleColBandSize w:val="1"/>
      <w:tblInd w:w="0" w:type="nil"/>
      <w:tblCellMar>
        <w:left w:w="115" w:type="dxa"/>
        <w:right w:w="115" w:type="dxa"/>
      </w:tblCellMar>
    </w:tblPr>
  </w:style>
  <w:style w:type="character" w:styleId="MenoPendente">
    <w:name w:val="Unresolved Mention"/>
    <w:basedOn w:val="Fontepargpadro"/>
    <w:uiPriority w:val="99"/>
    <w:semiHidden/>
    <w:unhideWhenUsed/>
    <w:rsid w:val="005F2B9B"/>
    <w:rPr>
      <w:color w:val="605E5C"/>
      <w:shd w:val="clear" w:color="auto" w:fill="E1DFDD"/>
    </w:rPr>
  </w:style>
  <w:style w:type="table" w:customStyle="1" w:styleId="TableNormal1">
    <w:name w:val="Table Normal1"/>
    <w:rsid w:val="00B91C3E"/>
    <w:tblPr>
      <w:tblCellMar>
        <w:top w:w="0" w:type="dxa"/>
        <w:left w:w="0" w:type="dxa"/>
        <w:bottom w:w="0" w:type="dxa"/>
        <w:right w:w="0" w:type="dxa"/>
      </w:tblCellMar>
    </w:tblPr>
  </w:style>
  <w:style w:type="paragraph" w:styleId="SemEspaamento">
    <w:name w:val="No Spacing"/>
    <w:link w:val="SemEspaamentoChar"/>
    <w:uiPriority w:val="1"/>
    <w:qFormat/>
    <w:rsid w:val="004443A4"/>
    <w:pPr>
      <w:spacing w:after="0" w:line="240" w:lineRule="auto"/>
    </w:pPr>
    <w:rPr>
      <w:rFonts w:ascii="Times New Roman" w:eastAsia="Times New Roman" w:hAnsi="Times New Roman" w:cs="Times New Roman"/>
      <w:sz w:val="28"/>
      <w:szCs w:val="20"/>
      <w:lang w:eastAsia="pt-BR"/>
    </w:rPr>
  </w:style>
  <w:style w:type="character" w:customStyle="1" w:styleId="SemEspaamentoChar">
    <w:name w:val="Sem Espaçamento Char"/>
    <w:link w:val="SemEspaamento"/>
    <w:uiPriority w:val="1"/>
    <w:locked/>
    <w:rsid w:val="004443A4"/>
    <w:rPr>
      <w:rFonts w:ascii="Times New Roman" w:eastAsia="Times New Roman" w:hAnsi="Times New Roman" w:cs="Times New Roman"/>
      <w:sz w:val="28"/>
      <w:szCs w:val="20"/>
      <w:lang w:eastAsia="pt-BR"/>
    </w:rPr>
  </w:style>
  <w:style w:type="table" w:customStyle="1" w:styleId="Tabelacomgrade1">
    <w:name w:val="Tabela com grade1"/>
    <w:basedOn w:val="Tabelanormal"/>
    <w:next w:val="Tabelacomgrade"/>
    <w:uiPriority w:val="39"/>
    <w:rsid w:val="00F84F95"/>
    <w:pPr>
      <w:spacing w:after="0" w:line="240" w:lineRule="auto"/>
    </w:pPr>
    <w:rPr>
      <w:rFonts w:ascii="Arial" w:eastAsia="Arial" w:hAnsi="Arial" w:cs="Arial"/>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94195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5Wc4xYFJnyhvN0dLNSRT4OFJlQ==">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</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0E6A779-A2EE-4320-A1E8-85B849DAAEC4}">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6C35CE2D-77C8-4716-B023-159B577BE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8EE386-EDB0-4E3F-B289-596483DC32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8793</TotalTime>
  <Pages>6</Pages>
  <Words>1938</Words>
  <Characters>10467</Characters>
  <Application>Microsoft Office Word</Application>
  <DocSecurity>0</DocSecurity>
  <Lines>87</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12381</CharactersWithSpaces>
  <SharedDoc>false</SharedDoc>
  <HLinks>
    <vt:vector size="30" baseType="variant">
      <vt:variant>
        <vt:i4>4784221</vt:i4>
      </vt:variant>
      <vt:variant>
        <vt:i4>12</vt:i4>
      </vt:variant>
      <vt:variant>
        <vt:i4>0</vt:i4>
      </vt:variant>
      <vt:variant>
        <vt:i4>5</vt:i4>
      </vt:variant>
      <vt:variant>
        <vt:lpwstr>https://www.gov.br/cultura/pt-br/acesso-a-informacao/legislacao-e-normativas/instrucao-normativa-minc-no-10-de-28-de-dezembro-de-2023</vt:lpwstr>
      </vt:variant>
      <vt:variant>
        <vt:lpwstr/>
      </vt:variant>
      <vt:variant>
        <vt:i4>6619243</vt:i4>
      </vt:variant>
      <vt:variant>
        <vt:i4>9</vt:i4>
      </vt:variant>
      <vt:variant>
        <vt:i4>0</vt:i4>
      </vt:variant>
      <vt:variant>
        <vt:i4>5</vt:i4>
      </vt:variant>
      <vt:variant>
        <vt:lpwstr>https://www.planalto.gov.br/ccivil_03/_ato2023-2026/2023/decreto/D11453.htm</vt:lpwstr>
      </vt:variant>
      <vt:variant>
        <vt:lpwstr/>
      </vt:variant>
      <vt:variant>
        <vt:i4>8323188</vt:i4>
      </vt:variant>
      <vt:variant>
        <vt:i4>6</vt:i4>
      </vt:variant>
      <vt:variant>
        <vt:i4>0</vt:i4>
      </vt:variant>
      <vt:variant>
        <vt:i4>5</vt:i4>
      </vt:variant>
      <vt:variant>
        <vt:lpwstr>https://www.planalto.gov.br/ccivil_03/_ato2023-2026/2023/decreto/D11740.htm</vt:lpwstr>
      </vt:variant>
      <vt:variant>
        <vt:lpwstr>:~:text=%C3%89%20obrigat%C3%B3ria%20a%20exibi%C3%A7%C3%A3o%20das,de%20a%C3%A7%C3%B5es%20relativas%20%C3%A0%20Pol%C3%ADtica%2C</vt:lpwstr>
      </vt:variant>
      <vt:variant>
        <vt:i4>5636162</vt:i4>
      </vt:variant>
      <vt:variant>
        <vt:i4>3</vt:i4>
      </vt:variant>
      <vt:variant>
        <vt:i4>0</vt:i4>
      </vt:variant>
      <vt:variant>
        <vt:i4>5</vt:i4>
      </vt:variant>
      <vt:variant>
        <vt:lpwstr>https://www.in.gov.br/en/web/dou/-/lei-n-14.903-de-27-de-junho-de-2024-568649644</vt:lpwstr>
      </vt:variant>
      <vt:variant>
        <vt:lpwstr/>
      </vt:variant>
      <vt:variant>
        <vt:i4>3145835</vt:i4>
      </vt:variant>
      <vt:variant>
        <vt:i4>0</vt:i4>
      </vt:variant>
      <vt:variant>
        <vt:i4>0</vt:i4>
      </vt:variant>
      <vt:variant>
        <vt:i4>5</vt:i4>
      </vt:variant>
      <vt:variant>
        <vt:lpwstr>https://www.planalto.gov.br/ccivil_03/_ato2019-2022/2022/lei/l14399.htm</vt:lpwstr>
      </vt:variant>
      <vt:variant>
        <vt:lpwstr>:~:text=1%C2%BA%20Esta%20Lei%20institui%20a,acesso%20%C3%A0%20cultura%20no%20Brasil.</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Moreira de Oliveira Neves</dc:creator>
  <cp:keywords/>
  <cp:lastModifiedBy>Santiago Jácome</cp:lastModifiedBy>
  <cp:revision>326</cp:revision>
  <cp:lastPrinted>2024-05-21T13:43:00Z</cp:lastPrinted>
  <dcterms:created xsi:type="dcterms:W3CDTF">2025-06-02T17:30:00Z</dcterms:created>
  <dcterms:modified xsi:type="dcterms:W3CDTF">2026-04-25T03:19:00Z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